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29803" w14:textId="09D94E90" w:rsidR="00A63E65" w:rsidRPr="00E45121" w:rsidRDefault="00A63E65" w:rsidP="00E45121">
      <w:pPr>
        <w:pStyle w:val="Nagwek1"/>
        <w:spacing w:before="0" w:after="480" w:line="300" w:lineRule="auto"/>
        <w:ind w:left="5387"/>
        <w:rPr>
          <w:rFonts w:asciiTheme="minorHAnsi" w:hAnsiTheme="minorHAnsi" w:cstheme="minorHAnsi"/>
          <w:b/>
          <w:color w:val="auto"/>
          <w:sz w:val="22"/>
          <w:szCs w:val="22"/>
        </w:rPr>
      </w:pPr>
      <w:r w:rsidRPr="00D15279">
        <w:rPr>
          <w:rFonts w:asciiTheme="minorHAnsi" w:hAnsiTheme="minorHAnsi" w:cstheme="minorHAnsi"/>
          <w:b/>
          <w:color w:val="auto"/>
          <w:sz w:val="22"/>
          <w:szCs w:val="22"/>
        </w:rPr>
        <w:t>Załącznik nr 20</w:t>
      </w:r>
      <w:r w:rsidR="00B6436C" w:rsidRPr="00D15279">
        <w:rPr>
          <w:rFonts w:asciiTheme="minorHAnsi" w:hAnsiTheme="minorHAnsi" w:cstheme="minorHAnsi"/>
          <w:b/>
          <w:color w:val="auto"/>
          <w:sz w:val="22"/>
          <w:szCs w:val="22"/>
        </w:rPr>
        <w:br/>
      </w:r>
      <w:r w:rsidRPr="00D15279">
        <w:rPr>
          <w:rFonts w:asciiTheme="minorHAnsi" w:hAnsiTheme="minorHAnsi" w:cstheme="minorHAnsi"/>
          <w:color w:val="auto"/>
          <w:sz w:val="22"/>
          <w:szCs w:val="22"/>
        </w:rPr>
        <w:t>Do zasad obiegu oraz kontroli sprawozdań budżetowych,</w:t>
      </w:r>
      <w:r w:rsidR="00B6436C" w:rsidRPr="00D15279">
        <w:rPr>
          <w:rFonts w:asciiTheme="minorHAnsi" w:hAnsiTheme="minorHAnsi" w:cstheme="minorHAnsi"/>
          <w:color w:val="auto"/>
          <w:sz w:val="22"/>
          <w:szCs w:val="22"/>
        </w:rPr>
        <w:t xml:space="preserve"> </w:t>
      </w:r>
      <w:r w:rsidRPr="00D15279">
        <w:rPr>
          <w:rFonts w:asciiTheme="minorHAnsi" w:hAnsiTheme="minorHAnsi" w:cstheme="minorHAnsi"/>
          <w:color w:val="auto"/>
          <w:sz w:val="22"/>
          <w:szCs w:val="22"/>
        </w:rPr>
        <w:t>sprawozdań w zakresie operacji finansowych w Urzędzie m.st. Warszawy i jednostkach organizacyjnych m.st. Warszawy</w:t>
      </w:r>
    </w:p>
    <w:p w14:paraId="3D4E7B57" w14:textId="77777777" w:rsidR="00A63E65" w:rsidRPr="00D15279" w:rsidRDefault="00A63E65" w:rsidP="00E45121">
      <w:pPr>
        <w:pStyle w:val="Nagwek2"/>
        <w:numPr>
          <w:ilvl w:val="0"/>
          <w:numId w:val="13"/>
        </w:numPr>
        <w:spacing w:line="300" w:lineRule="auto"/>
        <w:rPr>
          <w:rFonts w:asciiTheme="minorHAnsi" w:hAnsiTheme="minorHAnsi" w:cstheme="minorHAnsi"/>
          <w:b/>
          <w:color w:val="auto"/>
          <w:sz w:val="22"/>
          <w:szCs w:val="22"/>
        </w:rPr>
      </w:pPr>
      <w:r w:rsidRPr="00D15279">
        <w:rPr>
          <w:rFonts w:asciiTheme="minorHAnsi" w:hAnsiTheme="minorHAnsi" w:cstheme="minorHAnsi"/>
          <w:b/>
          <w:color w:val="auto"/>
          <w:sz w:val="22"/>
          <w:szCs w:val="22"/>
        </w:rPr>
        <w:t>Informacje o Urzędzie Dzielnicy Żoliborz m.st. Warszawy</w:t>
      </w:r>
    </w:p>
    <w:p w14:paraId="20FBAFBD" w14:textId="19198F5D" w:rsidR="00A63E65" w:rsidRPr="00D15279" w:rsidRDefault="00A63E65" w:rsidP="00E45121">
      <w:pPr>
        <w:pStyle w:val="Akapitzlist"/>
        <w:numPr>
          <w:ilvl w:val="1"/>
          <w:numId w:val="14"/>
        </w:numPr>
        <w:spacing w:after="240" w:line="300" w:lineRule="auto"/>
        <w:rPr>
          <w:rFonts w:cstheme="minorHAnsi"/>
        </w:rPr>
      </w:pPr>
      <w:r w:rsidRPr="00D15279">
        <w:rPr>
          <w:rFonts w:cstheme="minorHAnsi"/>
        </w:rPr>
        <w:t>Nazwa jednostki</w:t>
      </w:r>
      <w:r w:rsidR="00B6436C" w:rsidRPr="00D15279">
        <w:rPr>
          <w:rFonts w:cstheme="minorHAnsi"/>
        </w:rPr>
        <w:br/>
      </w:r>
      <w:r w:rsidRPr="00D15279">
        <w:rPr>
          <w:rFonts w:cstheme="minorHAnsi"/>
        </w:rPr>
        <w:t>Urząd Dzielnicy Żoliborz</w:t>
      </w:r>
    </w:p>
    <w:p w14:paraId="21C82F97" w14:textId="67556301" w:rsidR="00A63E65" w:rsidRPr="00D15279" w:rsidRDefault="00A63E65" w:rsidP="00E45121">
      <w:pPr>
        <w:pStyle w:val="Akapitzlist"/>
        <w:numPr>
          <w:ilvl w:val="1"/>
          <w:numId w:val="14"/>
        </w:numPr>
        <w:spacing w:after="240" w:line="300" w:lineRule="auto"/>
        <w:rPr>
          <w:rFonts w:cstheme="minorHAnsi"/>
        </w:rPr>
      </w:pPr>
      <w:r w:rsidRPr="00D15279">
        <w:rPr>
          <w:rFonts w:cstheme="minorHAnsi"/>
        </w:rPr>
        <w:t>Siedziba jednostki</w:t>
      </w:r>
      <w:r w:rsidR="00531F01" w:rsidRPr="00D15279">
        <w:rPr>
          <w:rFonts w:cstheme="minorHAnsi"/>
        </w:rPr>
        <w:br/>
      </w:r>
      <w:r w:rsidRPr="00D15279">
        <w:rPr>
          <w:rFonts w:cstheme="minorHAnsi"/>
        </w:rPr>
        <w:t>01-657 Warszawa</w:t>
      </w:r>
      <w:r w:rsidR="00531F01" w:rsidRPr="00D15279">
        <w:rPr>
          <w:rFonts w:cstheme="minorHAnsi"/>
        </w:rPr>
        <w:br/>
      </w:r>
      <w:r w:rsidRPr="00D15279">
        <w:rPr>
          <w:rFonts w:cstheme="minorHAnsi"/>
        </w:rPr>
        <w:t>ul. Słowackiego 6/8</w:t>
      </w:r>
    </w:p>
    <w:p w14:paraId="480F7C93" w14:textId="1F3E28CE" w:rsidR="00A63E65" w:rsidRPr="00D15279" w:rsidRDefault="00A63E65" w:rsidP="00E45121">
      <w:pPr>
        <w:pStyle w:val="Akapitzlist"/>
        <w:numPr>
          <w:ilvl w:val="1"/>
          <w:numId w:val="14"/>
        </w:numPr>
        <w:spacing w:after="240" w:line="300" w:lineRule="auto"/>
        <w:rPr>
          <w:rFonts w:cstheme="minorHAnsi"/>
        </w:rPr>
      </w:pPr>
      <w:r w:rsidRPr="00D15279">
        <w:rPr>
          <w:rFonts w:cstheme="minorHAnsi"/>
        </w:rPr>
        <w:t>Adres jednostki</w:t>
      </w:r>
      <w:r w:rsidR="00531F01" w:rsidRPr="00D15279">
        <w:rPr>
          <w:rFonts w:cstheme="minorHAnsi"/>
        </w:rPr>
        <w:br/>
        <w:t>0</w:t>
      </w:r>
      <w:r w:rsidRPr="00D15279">
        <w:rPr>
          <w:rFonts w:cstheme="minorHAnsi"/>
        </w:rPr>
        <w:t>1-657 Warszawa</w:t>
      </w:r>
      <w:r w:rsidR="00531F01" w:rsidRPr="00D15279">
        <w:rPr>
          <w:rFonts w:cstheme="minorHAnsi"/>
        </w:rPr>
        <w:br/>
      </w:r>
      <w:r w:rsidRPr="00D15279">
        <w:rPr>
          <w:rFonts w:cstheme="minorHAnsi"/>
        </w:rPr>
        <w:t>ul. Słowackiego 6/8</w:t>
      </w:r>
    </w:p>
    <w:p w14:paraId="2A91788F" w14:textId="77777777" w:rsidR="00A63E65" w:rsidRPr="00D15279" w:rsidRDefault="00A63E65" w:rsidP="00E45121">
      <w:pPr>
        <w:pStyle w:val="Akapitzlist"/>
        <w:numPr>
          <w:ilvl w:val="1"/>
          <w:numId w:val="14"/>
        </w:numPr>
        <w:spacing w:after="240" w:line="300" w:lineRule="auto"/>
        <w:rPr>
          <w:rFonts w:cstheme="minorHAnsi"/>
        </w:rPr>
      </w:pPr>
      <w:r w:rsidRPr="00D15279">
        <w:rPr>
          <w:rFonts w:cstheme="minorHAnsi"/>
        </w:rPr>
        <w:t>Podstawowy przedmiot działalności jednostki</w:t>
      </w:r>
    </w:p>
    <w:p w14:paraId="29CAD766" w14:textId="4C9D62D7" w:rsidR="00A63E65" w:rsidRPr="00D15279" w:rsidRDefault="00A63E65" w:rsidP="00E45121">
      <w:pPr>
        <w:pStyle w:val="Akapitzlist"/>
        <w:spacing w:after="240" w:line="300" w:lineRule="auto"/>
        <w:ind w:left="792"/>
        <w:rPr>
          <w:rFonts w:cstheme="minorHAnsi"/>
        </w:rPr>
      </w:pPr>
      <w:r w:rsidRPr="00D15279">
        <w:rPr>
          <w:rFonts w:cstheme="minorHAnsi"/>
        </w:rPr>
        <w:t xml:space="preserve">Jednostka pomocnicza </w:t>
      </w:r>
      <w:r w:rsidR="00BD7E16" w:rsidRPr="00D15279">
        <w:rPr>
          <w:rFonts w:cstheme="minorHAnsi"/>
        </w:rPr>
        <w:t>M</w:t>
      </w:r>
      <w:r w:rsidRPr="00D15279">
        <w:rPr>
          <w:rFonts w:cstheme="minorHAnsi"/>
        </w:rPr>
        <w:t xml:space="preserve">iasta </w:t>
      </w:r>
      <w:r w:rsidR="00BD7E16" w:rsidRPr="00D15279">
        <w:rPr>
          <w:rFonts w:cstheme="minorHAnsi"/>
        </w:rPr>
        <w:t>S</w:t>
      </w:r>
      <w:r w:rsidRPr="00D15279">
        <w:rPr>
          <w:rFonts w:cstheme="minorHAnsi"/>
        </w:rPr>
        <w:t xml:space="preserve">tołecznego </w:t>
      </w:r>
      <w:r w:rsidR="00BD7E16" w:rsidRPr="00D15279">
        <w:rPr>
          <w:rFonts w:cstheme="minorHAnsi"/>
        </w:rPr>
        <w:t>W</w:t>
      </w:r>
      <w:r w:rsidRPr="00D15279">
        <w:rPr>
          <w:rFonts w:cstheme="minorHAnsi"/>
        </w:rPr>
        <w:t>arszawy.</w:t>
      </w:r>
    </w:p>
    <w:p w14:paraId="65B6288A" w14:textId="77777777" w:rsidR="00A63E65" w:rsidRPr="00D15279" w:rsidRDefault="00A63E65" w:rsidP="00E45121">
      <w:pPr>
        <w:pStyle w:val="Akapitzlist"/>
        <w:spacing w:after="240" w:line="300" w:lineRule="auto"/>
        <w:ind w:left="792"/>
        <w:rPr>
          <w:rFonts w:cstheme="minorHAnsi"/>
        </w:rPr>
      </w:pPr>
      <w:r w:rsidRPr="00D15279">
        <w:rPr>
          <w:rFonts w:cstheme="minorHAnsi"/>
        </w:rPr>
        <w:t xml:space="preserve">Zakres działania określony został w Rozdz. II statutu </w:t>
      </w:r>
      <w:r w:rsidR="009E3751" w:rsidRPr="00D15279">
        <w:rPr>
          <w:rFonts w:cstheme="minorHAnsi"/>
        </w:rPr>
        <w:t xml:space="preserve">dzielnicy Żoliborz będącego załącznikiem Nr 18 do Uchwały Nr LXX/2182/2010 Rady m.st. Warszawy z dn. 14 stycznia 2010 r. </w:t>
      </w:r>
    </w:p>
    <w:p w14:paraId="5375482F" w14:textId="5F6975FA" w:rsidR="00DB5B8A" w:rsidRDefault="00A63E65" w:rsidP="00E45121">
      <w:pPr>
        <w:pStyle w:val="Nagwek2"/>
        <w:numPr>
          <w:ilvl w:val="0"/>
          <w:numId w:val="13"/>
        </w:numPr>
        <w:spacing w:line="300" w:lineRule="auto"/>
        <w:rPr>
          <w:rFonts w:asciiTheme="minorHAnsi" w:hAnsiTheme="minorHAnsi" w:cstheme="minorHAnsi"/>
          <w:color w:val="auto"/>
          <w:sz w:val="22"/>
          <w:szCs w:val="22"/>
        </w:rPr>
      </w:pPr>
      <w:r w:rsidRPr="00D15279">
        <w:rPr>
          <w:rFonts w:asciiTheme="minorHAnsi" w:hAnsiTheme="minorHAnsi" w:cstheme="minorHAnsi"/>
          <w:b/>
          <w:color w:val="auto"/>
          <w:sz w:val="22"/>
          <w:szCs w:val="22"/>
        </w:rPr>
        <w:t>Wskazanie okresu objętego sprawozdaniem</w:t>
      </w:r>
      <w:r w:rsidR="00DB5B8A" w:rsidRPr="00D15279">
        <w:rPr>
          <w:rFonts w:asciiTheme="minorHAnsi" w:hAnsiTheme="minorHAnsi" w:cstheme="minorHAnsi"/>
          <w:b/>
          <w:color w:val="auto"/>
          <w:sz w:val="22"/>
          <w:szCs w:val="22"/>
        </w:rPr>
        <w:br/>
      </w:r>
      <w:r w:rsidRPr="00D15279">
        <w:rPr>
          <w:rFonts w:asciiTheme="minorHAnsi" w:hAnsiTheme="minorHAnsi" w:cstheme="minorHAnsi"/>
          <w:color w:val="auto"/>
          <w:sz w:val="22"/>
          <w:szCs w:val="22"/>
        </w:rPr>
        <w:t>Sprawozda</w:t>
      </w:r>
      <w:r w:rsidR="004E20DD" w:rsidRPr="00D15279">
        <w:rPr>
          <w:rFonts w:asciiTheme="minorHAnsi" w:hAnsiTheme="minorHAnsi" w:cstheme="minorHAnsi"/>
          <w:color w:val="auto"/>
          <w:sz w:val="22"/>
          <w:szCs w:val="22"/>
        </w:rPr>
        <w:t>nie obejmuje okres od 01.01.202</w:t>
      </w:r>
      <w:r w:rsidR="00E42771" w:rsidRPr="00D15279">
        <w:rPr>
          <w:rFonts w:asciiTheme="minorHAnsi" w:hAnsiTheme="minorHAnsi" w:cstheme="minorHAnsi"/>
          <w:color w:val="auto"/>
          <w:sz w:val="22"/>
          <w:szCs w:val="22"/>
        </w:rPr>
        <w:t>4</w:t>
      </w:r>
      <w:r w:rsidRPr="00D15279">
        <w:rPr>
          <w:rFonts w:asciiTheme="minorHAnsi" w:hAnsiTheme="minorHAnsi" w:cstheme="minorHAnsi"/>
          <w:color w:val="auto"/>
          <w:sz w:val="22"/>
          <w:szCs w:val="22"/>
        </w:rPr>
        <w:t xml:space="preserve"> r.</w:t>
      </w:r>
      <w:r w:rsidR="004E20DD" w:rsidRPr="00D15279">
        <w:rPr>
          <w:rFonts w:asciiTheme="minorHAnsi" w:hAnsiTheme="minorHAnsi" w:cstheme="minorHAnsi"/>
          <w:color w:val="auto"/>
          <w:sz w:val="22"/>
          <w:szCs w:val="22"/>
        </w:rPr>
        <w:t xml:space="preserve"> do 31.12.20</w:t>
      </w:r>
      <w:r w:rsidR="00E42771" w:rsidRPr="00D15279">
        <w:rPr>
          <w:rFonts w:asciiTheme="minorHAnsi" w:hAnsiTheme="minorHAnsi" w:cstheme="minorHAnsi"/>
          <w:color w:val="auto"/>
          <w:sz w:val="22"/>
          <w:szCs w:val="22"/>
        </w:rPr>
        <w:t>24</w:t>
      </w:r>
      <w:r w:rsidRPr="00D15279">
        <w:rPr>
          <w:rFonts w:asciiTheme="minorHAnsi" w:hAnsiTheme="minorHAnsi" w:cstheme="minorHAnsi"/>
          <w:color w:val="auto"/>
          <w:sz w:val="22"/>
          <w:szCs w:val="22"/>
        </w:rPr>
        <w:t xml:space="preserve"> r.</w:t>
      </w:r>
    </w:p>
    <w:p w14:paraId="288B52AF" w14:textId="199251B7" w:rsidR="001B3F65" w:rsidRPr="001B3F65" w:rsidRDefault="00A63E65" w:rsidP="001B3F65">
      <w:pPr>
        <w:pStyle w:val="Akapitzlist"/>
        <w:numPr>
          <w:ilvl w:val="0"/>
          <w:numId w:val="13"/>
        </w:numPr>
        <w:spacing w:after="240" w:line="300" w:lineRule="auto"/>
        <w:rPr>
          <w:rFonts w:cstheme="minorHAnsi"/>
        </w:rPr>
      </w:pPr>
      <w:r w:rsidRPr="001B3F65">
        <w:rPr>
          <w:rStyle w:val="Nagwek2Znak"/>
          <w:rFonts w:asciiTheme="minorHAnsi" w:hAnsiTheme="minorHAnsi" w:cstheme="minorHAnsi"/>
          <w:b/>
          <w:bCs/>
          <w:color w:val="auto"/>
          <w:sz w:val="22"/>
          <w:szCs w:val="22"/>
        </w:rPr>
        <w:t>Wskazanie, że sprawozdanie zawiera dane łączne</w:t>
      </w:r>
      <w:r w:rsidR="00DB5B8A" w:rsidRPr="001B3F65">
        <w:rPr>
          <w:rFonts w:cstheme="minorHAnsi"/>
          <w:b/>
        </w:rPr>
        <w:br/>
      </w:r>
      <w:r w:rsidRPr="001B3F65">
        <w:rPr>
          <w:rFonts w:cstheme="minorHAnsi"/>
        </w:rPr>
        <w:t>Sprawozdanie nie zawiera danych łącznych.</w:t>
      </w:r>
    </w:p>
    <w:p w14:paraId="230DF2B6" w14:textId="0A9D8209" w:rsidR="00DB5B8A" w:rsidRPr="001B3F65" w:rsidRDefault="00A63E65" w:rsidP="00E45121">
      <w:pPr>
        <w:pStyle w:val="Akapitzlist"/>
        <w:numPr>
          <w:ilvl w:val="0"/>
          <w:numId w:val="13"/>
        </w:numPr>
        <w:spacing w:after="240" w:line="300" w:lineRule="auto"/>
        <w:rPr>
          <w:rStyle w:val="Nagwek2Znak"/>
          <w:rFonts w:asciiTheme="minorHAnsi" w:hAnsiTheme="minorHAnsi" w:cstheme="minorHAnsi"/>
          <w:b/>
          <w:color w:val="auto"/>
          <w:sz w:val="22"/>
          <w:szCs w:val="22"/>
        </w:rPr>
      </w:pPr>
      <w:r w:rsidRPr="001B3F65">
        <w:rPr>
          <w:rStyle w:val="Nagwek2Znak"/>
          <w:rFonts w:asciiTheme="minorHAnsi" w:hAnsiTheme="minorHAnsi" w:cstheme="minorHAnsi"/>
          <w:b/>
          <w:color w:val="auto"/>
          <w:sz w:val="22"/>
          <w:szCs w:val="22"/>
        </w:rPr>
        <w:t>Przyjęte zasady (polityki) rachunkowości, w tym metody wyceny aktywów i pasywów</w:t>
      </w:r>
    </w:p>
    <w:p w14:paraId="60D810D9" w14:textId="0850E92C" w:rsidR="00DB5B8A" w:rsidRPr="00D15279" w:rsidRDefault="005A4D0B" w:rsidP="00E45121">
      <w:pPr>
        <w:pStyle w:val="Bezodstpw"/>
        <w:numPr>
          <w:ilvl w:val="0"/>
          <w:numId w:val="15"/>
        </w:numPr>
        <w:spacing w:line="300" w:lineRule="auto"/>
        <w:rPr>
          <w:rFonts w:cstheme="minorHAnsi"/>
          <w:b/>
        </w:rPr>
      </w:pPr>
      <w:r w:rsidRPr="00D15279">
        <w:rPr>
          <w:rFonts w:cstheme="minorHAnsi"/>
        </w:rPr>
        <w:t xml:space="preserve">Zapasy magazynowe materiałów wycenia się według cen nabycia, powiększone o nie podlegający odliczeniu podatek VAT. </w:t>
      </w:r>
    </w:p>
    <w:p w14:paraId="5A53C775" w14:textId="77777777" w:rsidR="00DB5B8A" w:rsidRPr="00D15279" w:rsidRDefault="005A4D0B" w:rsidP="00E45121">
      <w:pPr>
        <w:pStyle w:val="Bezodstpw"/>
        <w:numPr>
          <w:ilvl w:val="0"/>
          <w:numId w:val="15"/>
        </w:numPr>
        <w:spacing w:line="300" w:lineRule="auto"/>
        <w:rPr>
          <w:rFonts w:cstheme="minorHAnsi"/>
          <w:b/>
        </w:rPr>
      </w:pPr>
      <w:r w:rsidRPr="00D15279">
        <w:rPr>
          <w:rFonts w:cstheme="minorHAnsi"/>
        </w:rPr>
        <w:t>Rozchód materiałów z magazynu wycenia się według zasady „pierwsze przyszło – pierwsze wyszło” tj. w cenie zakupu materiałów nabytych najwcześniej.</w:t>
      </w:r>
    </w:p>
    <w:p w14:paraId="51A88A8B" w14:textId="77777777" w:rsidR="00DB5B8A" w:rsidRPr="00D15279" w:rsidRDefault="005A4D0B" w:rsidP="00E45121">
      <w:pPr>
        <w:pStyle w:val="Bezodstpw"/>
        <w:numPr>
          <w:ilvl w:val="0"/>
          <w:numId w:val="15"/>
        </w:numPr>
        <w:spacing w:line="300" w:lineRule="auto"/>
        <w:rPr>
          <w:rFonts w:cstheme="minorHAnsi"/>
          <w:b/>
        </w:rPr>
      </w:pPr>
      <w:r w:rsidRPr="00D15279">
        <w:rPr>
          <w:rFonts w:cstheme="minorHAnsi"/>
        </w:rPr>
        <w:t>Środki trwałe oraz wartości niematerialne i prawne wycenia się według cen nabycia lub kosztów wytworzenia, pomniejszonej o dotychczasowe dokonane odpisy umorzeniowe a także odpisy z tytułu ewentualnej utraty wartości oraz skorygowanej o przeszacowania dokonane na podstawie odrębnych przepisów.</w:t>
      </w:r>
    </w:p>
    <w:p w14:paraId="02DEB713" w14:textId="77777777" w:rsidR="00DB5B8A" w:rsidRPr="00D15279" w:rsidRDefault="005A4D0B" w:rsidP="00E45121">
      <w:pPr>
        <w:pStyle w:val="Bezodstpw"/>
        <w:numPr>
          <w:ilvl w:val="0"/>
          <w:numId w:val="15"/>
        </w:numPr>
        <w:spacing w:line="300" w:lineRule="auto"/>
        <w:rPr>
          <w:rFonts w:cstheme="minorHAnsi"/>
          <w:b/>
        </w:rPr>
      </w:pPr>
      <w:r w:rsidRPr="00D15279">
        <w:rPr>
          <w:rFonts w:cstheme="minorHAnsi"/>
        </w:rPr>
        <w:t>Ustalona w wyniku przeszacowania księgowa wartość netto środka trwałego nie powinna być wyższa od jego wartości godziwej, której odpisanie w przewidywanym okresie jego dalszego użytkowania jest ekonomicznie uzasadnione.</w:t>
      </w:r>
    </w:p>
    <w:p w14:paraId="1A13CA49" w14:textId="77777777" w:rsidR="00AA2398" w:rsidRPr="00D15279" w:rsidRDefault="005A4D0B" w:rsidP="00E45121">
      <w:pPr>
        <w:pStyle w:val="Bezodstpw"/>
        <w:numPr>
          <w:ilvl w:val="0"/>
          <w:numId w:val="15"/>
        </w:numPr>
        <w:spacing w:line="300" w:lineRule="auto"/>
        <w:rPr>
          <w:rFonts w:cstheme="minorHAnsi"/>
          <w:b/>
        </w:rPr>
      </w:pPr>
      <w:r w:rsidRPr="00D15279">
        <w:rPr>
          <w:rFonts w:cstheme="minorHAnsi"/>
        </w:rPr>
        <w:t>Powstałą na skutek przeszacowania wyceny różnicę wartości netto środków trwałych odnosi się na fundusz jednostki.</w:t>
      </w:r>
    </w:p>
    <w:p w14:paraId="3C9A2307" w14:textId="651536AD" w:rsidR="00D15279" w:rsidRPr="00D15279" w:rsidRDefault="005A4D0B" w:rsidP="00E45121">
      <w:pPr>
        <w:pStyle w:val="Bezodstpw"/>
        <w:numPr>
          <w:ilvl w:val="0"/>
          <w:numId w:val="15"/>
        </w:numPr>
        <w:spacing w:line="300" w:lineRule="auto"/>
        <w:rPr>
          <w:rFonts w:cstheme="minorHAnsi"/>
          <w:b/>
        </w:rPr>
      </w:pPr>
      <w:r w:rsidRPr="00D15279">
        <w:rPr>
          <w:rFonts w:cstheme="minorHAnsi"/>
        </w:rPr>
        <w:t>W przypadku zaistnienia przyczyn powodujących trwałą utratę wartości środka trwałego, wartości niematerialnych i prawnych oraz środków trwałych w budowie dokonuje się odpisu aktualizującego jego wartość. Ustalanie odpisu aktualizującego wycenę środków trwałych, wartości niematerialnych i prawnych oraz środków trwałych w</w:t>
      </w:r>
      <w:r w:rsidR="00E45121">
        <w:rPr>
          <w:rFonts w:cstheme="minorHAnsi"/>
        </w:rPr>
        <w:t xml:space="preserve"> </w:t>
      </w:r>
      <w:r w:rsidRPr="00D15279">
        <w:rPr>
          <w:rFonts w:cstheme="minorHAnsi"/>
        </w:rPr>
        <w:t>budowie spowodowaną trwałą utratą przez nie wartości, odbywa się nie rzadziej niż raz w roku, na dzień 31 grudnia. Odpisy odnoszone są w pozostałe koszty operacyjne.</w:t>
      </w:r>
    </w:p>
    <w:p w14:paraId="10A407AD" w14:textId="73847C1C" w:rsidR="00AA2398" w:rsidRPr="00D15279" w:rsidRDefault="005A4D0B" w:rsidP="00E45121">
      <w:pPr>
        <w:pStyle w:val="Bezodstpw"/>
        <w:numPr>
          <w:ilvl w:val="0"/>
          <w:numId w:val="16"/>
        </w:numPr>
        <w:spacing w:line="300" w:lineRule="auto"/>
        <w:rPr>
          <w:rFonts w:cstheme="minorHAnsi"/>
          <w:b/>
        </w:rPr>
      </w:pPr>
      <w:r w:rsidRPr="00D15279">
        <w:rPr>
          <w:rFonts w:cstheme="minorHAnsi"/>
        </w:rPr>
        <w:t>W przypadku podjęcia decyzji o czasowym wstrzymaniu budowy środka trwałego w budowie, jednakże z zamiarem wznowienia jej realizacji (np. ze względu na chwilowy, tj. nieprzekraczający okres 36 miesięcy, brak w planie środków na dalszą realizację oraz brak środków w WPF), poniesione dotychczas koszty rozpoczętej budowy nadal ujmowane są jako środki trwałe w budowie, a ewentualne koszty związane z zabezpieczeniem czasowo wstrzymanej budowy środka trwałego nie zwiększają wartości środka trwałego w budowie, są natomiast odnoszone w pozostałe koszty operacyjne</w:t>
      </w:r>
    </w:p>
    <w:p w14:paraId="5AAB664F" w14:textId="4B3A24D6" w:rsidR="005A4D0B" w:rsidRPr="00D15279" w:rsidRDefault="005A4D0B" w:rsidP="00E45121">
      <w:pPr>
        <w:pStyle w:val="Bezodstpw"/>
        <w:numPr>
          <w:ilvl w:val="0"/>
          <w:numId w:val="15"/>
        </w:numPr>
        <w:spacing w:line="300" w:lineRule="auto"/>
        <w:rPr>
          <w:rFonts w:cstheme="minorHAnsi"/>
          <w:b/>
        </w:rPr>
      </w:pPr>
      <w:r w:rsidRPr="00D15279">
        <w:rPr>
          <w:rFonts w:eastAsia="Times New Roman" w:cstheme="minorHAnsi"/>
          <w:lang w:eastAsia="pl-PL"/>
        </w:rPr>
        <w:t>Środki trwałe stanowiące własność lub współwłasność m.st. Warszawy otrzymane nieodpłatnie na podstawie decyzji właściwego organu lub innego dokumentu, w którym nie została określona jego wartość bądź została określona wartość zero zł, przyjmowane są do ewidencji według ceny sprzedaży takiego samego lub podobnego składnika majątku. Cenę sprzedaży takiego samego lub podobnego składnika majątku (z wyłączeniem gruntów i pozostałych nieruchomości, których cenę ustala się w sposób przyjęty w pkt 1 i 2 poniżej), ustala się na podstawie cen wynikających z bieżących ofert sprzedaży takich samych przedmiotów notowanych na rynku (z uwzględnieniem stopnia ich zużycia), dokumentując źródło pochodzenia informacji o cenie.</w:t>
      </w:r>
      <w:r w:rsidRPr="00D15279">
        <w:rPr>
          <w:rFonts w:eastAsia="Times New Roman" w:cstheme="minorHAnsi"/>
          <w:lang w:eastAsia="pl-PL"/>
        </w:rPr>
        <w:br/>
        <w:t>Cenę sprzedaży ustalają biura merytoryczne/wydziały merytoryczne dla dzielnic w następujący sposób:</w:t>
      </w:r>
    </w:p>
    <w:p w14:paraId="25191EE8" w14:textId="44C29527" w:rsidR="007B56A2" w:rsidRPr="00D15279" w:rsidRDefault="005A4D0B" w:rsidP="00E45121">
      <w:pPr>
        <w:numPr>
          <w:ilvl w:val="0"/>
          <w:numId w:val="17"/>
        </w:numPr>
        <w:spacing w:after="240" w:line="300" w:lineRule="auto"/>
        <w:rPr>
          <w:rFonts w:eastAsia="Times New Roman" w:cstheme="minorHAnsi"/>
          <w:lang w:eastAsia="pl-PL"/>
        </w:rPr>
      </w:pPr>
      <w:r w:rsidRPr="00D15279">
        <w:rPr>
          <w:rFonts w:eastAsia="Times New Roman" w:cstheme="minorHAnsi"/>
          <w:lang w:eastAsia="pl-PL"/>
        </w:rPr>
        <w:t xml:space="preserve">grunty - zgodnie z wyceną sporządzaną przez uprawnionego rzeczoznawcę lub w oparciu o średnie ceny gruntu z rynku lokalnego, na którym ten grunt się znajduje w przypadku braku wyceny sporządzonej przez rzeczoznawcę. Podstawą do określenia średniej ceny </w:t>
      </w:r>
      <w:smartTag w:uri="urn:schemas-microsoft-com:office:smarttags" w:element="metricconverter">
        <w:smartTagPr>
          <w:attr w:name="ProductID" w:val="1 mﾲ"/>
        </w:smartTagPr>
        <w:r w:rsidRPr="00D15279">
          <w:rPr>
            <w:rFonts w:eastAsia="Times New Roman" w:cstheme="minorHAnsi"/>
            <w:lang w:eastAsia="pl-PL"/>
          </w:rPr>
          <w:t>1 m²</w:t>
        </w:r>
      </w:smartTag>
      <w:r w:rsidRPr="00D15279">
        <w:rPr>
          <w:rFonts w:eastAsia="Times New Roman" w:cstheme="minorHAnsi"/>
          <w:lang w:eastAsia="pl-PL"/>
        </w:rPr>
        <w:t xml:space="preserve"> gruntu na rynku lokalnym jest średnia cena m</w:t>
      </w:r>
      <w:r w:rsidRPr="00D15279">
        <w:rPr>
          <w:rFonts w:eastAsia="Times New Roman" w:cstheme="minorHAnsi"/>
          <w:vertAlign w:val="superscript"/>
          <w:lang w:eastAsia="pl-PL"/>
        </w:rPr>
        <w:t>2</w:t>
      </w:r>
      <w:r w:rsidRPr="00D15279">
        <w:rPr>
          <w:rFonts w:eastAsia="Times New Roman" w:cstheme="minorHAnsi"/>
          <w:lang w:eastAsia="pl-PL"/>
        </w:rPr>
        <w:t xml:space="preserve"> gruntów ustalona w oparciu o dane dotyczące maksymalnie dużego zbioru nieruchomości podobnych, ale nie więcej niż 100 pozycji, według cen nieruchomości odpowiednich dla danego okresu (okresu, w którym m.st. Warszawy stało się właścicielem gruntu). </w:t>
      </w:r>
      <w:r w:rsidRPr="00D15279">
        <w:rPr>
          <w:rFonts w:eastAsia="Times New Roman" w:cstheme="minorHAnsi"/>
          <w:bCs/>
          <w:lang w:eastAsia="pl-PL"/>
        </w:rPr>
        <w:t xml:space="preserve">W przypadku braku danych o średnich cenach nieruchomości, dane pozyskuje się z Rejestru cen i wartości nieruchomości prowadzonego przez Biuro Geodezji i Katastru Urzędu m.st. Warszawy. Za zbiór nieruchomości podobnych uznaje się zbiór nieruchomości położonych na terenie dzielnicy, w którym różnica pomiędzy najmniejszą powierzchnią a medianą nie odbiega w sposób rażący od różnicy pomiędzy największą powierzchnią a medianą. Średnią cenę 1 m² gruntów ustala się z wykluczeniem ze zbioru nieruchomości podobnych transakcji, których cena za 1 m² w sposób rażący odbiega od średniej wartości gruntów w zbiorze nieruchomości podobnych. </w:t>
      </w:r>
      <w:r w:rsidRPr="00D15279">
        <w:rPr>
          <w:rFonts w:eastAsia="Times New Roman" w:cstheme="minorHAnsi"/>
          <w:bCs/>
          <w:lang w:eastAsia="pl-PL"/>
        </w:rPr>
        <w:br/>
      </w:r>
      <w:r w:rsidRPr="00D15279">
        <w:rPr>
          <w:rFonts w:eastAsia="Times New Roman" w:cstheme="minorHAnsi"/>
          <w:lang w:eastAsia="pl-PL"/>
        </w:rPr>
        <w:t>Wyliczona wartość gruntu w oparciu o średnią cenę gruntu występującą na rynku lokalnym przed wprowadzeniem do ewidencji wymaga akceptacji Dyrektora Biura Mienia Miasta i Skarbu Państwa, bądź osoby upoważnionej przez niego lub w przypadku gruntów ewidencjonowanych w dzielnicach przez naczelnika/kierownika wewnętrznej komórki organizacyjnej urzędu dzielnicy właściwej do prowadzenia zasobu nieruchomości m.st. Warszawy, bądź osoby przez niego upoważnionej;</w:t>
      </w:r>
    </w:p>
    <w:p w14:paraId="391BA511" w14:textId="10D96F96" w:rsidR="00D15279" w:rsidRPr="00D15279" w:rsidRDefault="005A4D0B" w:rsidP="00E45121">
      <w:pPr>
        <w:numPr>
          <w:ilvl w:val="0"/>
          <w:numId w:val="17"/>
        </w:numPr>
        <w:spacing w:after="240" w:line="300" w:lineRule="auto"/>
        <w:rPr>
          <w:rFonts w:eastAsia="Times New Roman" w:cstheme="minorHAnsi"/>
          <w:lang w:eastAsia="pl-PL"/>
        </w:rPr>
      </w:pPr>
      <w:r w:rsidRPr="00D15279">
        <w:rPr>
          <w:rFonts w:eastAsia="Times New Roman" w:cstheme="minorHAnsi"/>
          <w:lang w:eastAsia="pl-PL"/>
        </w:rPr>
        <w:t>pozostałe nieruchomości (np. budynek) - zgodnie z wyceną sporządzoną przez</w:t>
      </w:r>
      <w:r w:rsidRPr="00D15279">
        <w:rPr>
          <w:rFonts w:eastAsia="Times New Roman" w:cstheme="minorHAnsi"/>
          <w:lang w:eastAsia="pl-PL"/>
        </w:rPr>
        <w:br/>
        <w:t>uprawnionego rzeczoznawcę lub cena sprzedaży może zostać określona przez</w:t>
      </w:r>
      <w:r w:rsidRPr="00D15279">
        <w:rPr>
          <w:rFonts w:eastAsia="Times New Roman" w:cstheme="minorHAnsi"/>
          <w:lang w:eastAsia="pl-PL"/>
        </w:rPr>
        <w:br/>
        <w:t>specjalistę zatrudnionego w Urzędzie m.st. Warszawy np. inspektora nadzoru</w:t>
      </w:r>
      <w:r w:rsidRPr="00D15279">
        <w:rPr>
          <w:rFonts w:eastAsia="Times New Roman" w:cstheme="minorHAnsi"/>
          <w:lang w:eastAsia="pl-PL"/>
        </w:rPr>
        <w:br/>
        <w:t>budowlanego, z uwzględnieniem aktualnych ekspertyz technicznych oceniających</w:t>
      </w:r>
      <w:r w:rsidR="00DD7D2F">
        <w:rPr>
          <w:rFonts w:eastAsia="Times New Roman" w:cstheme="minorHAnsi"/>
          <w:lang w:eastAsia="pl-PL"/>
        </w:rPr>
        <w:t xml:space="preserve"> </w:t>
      </w:r>
      <w:r w:rsidRPr="00D15279">
        <w:rPr>
          <w:rFonts w:eastAsia="Times New Roman" w:cstheme="minorHAnsi"/>
          <w:lang w:eastAsia="pl-PL"/>
        </w:rPr>
        <w:t>stan nieruchomości. Należy również porównać aktualną cenę rynkową takiej samej</w:t>
      </w:r>
      <w:r w:rsidR="003553A1" w:rsidRPr="00D15279">
        <w:rPr>
          <w:rFonts w:eastAsia="Times New Roman" w:cstheme="minorHAnsi"/>
          <w:lang w:eastAsia="pl-PL"/>
        </w:rPr>
        <w:t xml:space="preserve"> </w:t>
      </w:r>
      <w:r w:rsidRPr="00D15279">
        <w:rPr>
          <w:rFonts w:eastAsia="Times New Roman" w:cstheme="minorHAnsi"/>
          <w:lang w:eastAsia="pl-PL"/>
        </w:rPr>
        <w:t>lub podobnej nieruchomości z uwzględnieniem jej lokalizacji i przeznaczenia oraz</w:t>
      </w:r>
      <w:r w:rsidR="0001739B" w:rsidRPr="00D15279">
        <w:rPr>
          <w:rFonts w:eastAsia="Times New Roman" w:cstheme="minorHAnsi"/>
          <w:lang w:eastAsia="pl-PL"/>
        </w:rPr>
        <w:t xml:space="preserve"> </w:t>
      </w:r>
      <w:r w:rsidRPr="00D15279">
        <w:rPr>
          <w:rFonts w:eastAsia="Times New Roman" w:cstheme="minorHAnsi"/>
          <w:lang w:eastAsia="pl-PL"/>
        </w:rPr>
        <w:t>stopnia zużycia;</w:t>
      </w:r>
    </w:p>
    <w:p w14:paraId="3B18D8AF" w14:textId="100F617D" w:rsidR="00D15279" w:rsidRPr="00D15279" w:rsidRDefault="005A4D0B" w:rsidP="00E45121">
      <w:pPr>
        <w:numPr>
          <w:ilvl w:val="0"/>
          <w:numId w:val="17"/>
        </w:numPr>
        <w:spacing w:after="240" w:line="300" w:lineRule="auto"/>
        <w:rPr>
          <w:rFonts w:eastAsia="Times New Roman" w:cstheme="minorHAnsi"/>
          <w:lang w:eastAsia="pl-PL"/>
        </w:rPr>
      </w:pPr>
      <w:r w:rsidRPr="00D15279">
        <w:rPr>
          <w:rFonts w:eastAsia="Times New Roman" w:cstheme="minorHAnsi"/>
          <w:lang w:eastAsia="pl-PL"/>
        </w:rPr>
        <w:t>inne środki trwałe niewymienione w pkt 1 i 2 (np. samochód) - zgodnie z wyceną przez uprawnionego rzeczoznawcę lub cena sprzedaży może zostać określona przez zespół powołany w Urzędzie m.st. Warszawy spośród pracowników posiadających wiedzę i doświadczenie w zakresie oceny wartości tego rodzaju środków trwałych, np. w oparciu o ekspertyzę stanu technicznego pojazdu lub opinię ubezpieczyciela pojazdu. Należy również porównać aktualną cenę rynkową takiego samego lub podobnego środka trwałego, z uwzględnieniem parametrów, które mogą mieć wpływ na wysokość ceny sprzedaży np. roku produkcji pojazdu, przebiegu.</w:t>
      </w:r>
    </w:p>
    <w:p w14:paraId="582B3C65" w14:textId="19F0B1CA" w:rsidR="00D15279" w:rsidRPr="00D15279" w:rsidRDefault="005A4D0B" w:rsidP="00E45121">
      <w:pPr>
        <w:pStyle w:val="Akapitzlist"/>
        <w:numPr>
          <w:ilvl w:val="0"/>
          <w:numId w:val="15"/>
        </w:numPr>
        <w:spacing w:after="240" w:line="300" w:lineRule="auto"/>
        <w:rPr>
          <w:rFonts w:eastAsia="Times New Roman" w:cstheme="minorHAnsi"/>
          <w:lang w:eastAsia="pl-PL"/>
        </w:rPr>
      </w:pPr>
      <w:r w:rsidRPr="00D15279">
        <w:rPr>
          <w:rFonts w:cstheme="minorHAnsi"/>
        </w:rPr>
        <w:t>Wartość</w:t>
      </w:r>
      <w:r w:rsidRPr="00D15279">
        <w:rPr>
          <w:rFonts w:eastAsia="Times New Roman" w:cstheme="minorHAnsi"/>
          <w:lang w:eastAsia="pl-PL"/>
        </w:rPr>
        <w:t xml:space="preserve"> początkową stanowiącą cenę nabycia lub koszt wytworzenia środka trwałego powiększają koszty jego ulepszenia, polegającego na przebudowie, rozbudowie, modernizacji lub rekonstrukcji, które podnoszą wartość użytkową tego środka, mierzoną okresem używania, zdolnością wytwórczą, jakością produktów uzyskiwanych przy pomocy ulepszonego środka trwałego, kosztami eksploatacji lub innymi miarami.</w:t>
      </w:r>
    </w:p>
    <w:p w14:paraId="05882B1C" w14:textId="5E143DFF" w:rsidR="00D15279" w:rsidRPr="00D15279" w:rsidRDefault="004E20DD" w:rsidP="00E45121">
      <w:pPr>
        <w:pStyle w:val="Akapitzlist"/>
        <w:numPr>
          <w:ilvl w:val="0"/>
          <w:numId w:val="15"/>
        </w:numPr>
        <w:spacing w:after="240" w:line="300" w:lineRule="auto"/>
        <w:rPr>
          <w:rFonts w:eastAsia="Times New Roman" w:cstheme="minorHAnsi"/>
          <w:lang w:eastAsia="pl-PL"/>
        </w:rPr>
      </w:pPr>
      <w:r w:rsidRPr="00D15279">
        <w:rPr>
          <w:rFonts w:eastAsia="Times New Roman" w:cstheme="minorHAnsi"/>
          <w:lang w:eastAsia="pl-PL"/>
        </w:rPr>
        <w:t xml:space="preserve">Odsetki od należności i zobowiązań, w tym również tych, do których stosuje się przepisy </w:t>
      </w:r>
      <w:r w:rsidRPr="00D15279">
        <w:rPr>
          <w:rFonts w:cstheme="minorHAnsi"/>
        </w:rPr>
        <w:t>dotyczące</w:t>
      </w:r>
      <w:r w:rsidRPr="00D15279">
        <w:rPr>
          <w:rFonts w:eastAsia="Times New Roman" w:cstheme="minorHAnsi"/>
          <w:lang w:eastAsia="pl-PL"/>
        </w:rPr>
        <w:t xml:space="preserve"> zobowiązań podatkowych, ujmuje się w księgach rachunkowych w momencie ich zapłaty, lecz nie później niż pod datą ostatniego dnia kwartału w wysokości odsetek należnych na koniec tego kwartału.</w:t>
      </w:r>
    </w:p>
    <w:p w14:paraId="40BE9125" w14:textId="5259E788" w:rsidR="004E20DD" w:rsidRPr="00D15279" w:rsidRDefault="004E20DD" w:rsidP="00E45121">
      <w:pPr>
        <w:pStyle w:val="Akapitzlist"/>
        <w:numPr>
          <w:ilvl w:val="0"/>
          <w:numId w:val="15"/>
        </w:numPr>
        <w:spacing w:after="240" w:line="300" w:lineRule="auto"/>
        <w:rPr>
          <w:rFonts w:eastAsia="Times New Roman" w:cstheme="minorHAnsi"/>
          <w:lang w:eastAsia="pl-PL"/>
        </w:rPr>
      </w:pPr>
      <w:r w:rsidRPr="00D15279">
        <w:rPr>
          <w:rFonts w:eastAsia="Times New Roman" w:cstheme="minorHAnsi"/>
          <w:lang w:eastAsia="pl-PL"/>
        </w:rPr>
        <w:t xml:space="preserve">Zasady </w:t>
      </w:r>
      <w:r w:rsidRPr="00D15279">
        <w:rPr>
          <w:rFonts w:cstheme="minorHAnsi"/>
        </w:rPr>
        <w:t>dokonywania</w:t>
      </w:r>
      <w:r w:rsidRPr="00D15279">
        <w:rPr>
          <w:rFonts w:eastAsia="Times New Roman" w:cstheme="minorHAnsi"/>
          <w:lang w:eastAsia="pl-PL"/>
        </w:rPr>
        <w:t xml:space="preserve"> odpisów aktualizujących wartość należności.</w:t>
      </w:r>
    </w:p>
    <w:p w14:paraId="69D3137A" w14:textId="499B4790" w:rsidR="004E20DD" w:rsidRPr="00D15279" w:rsidRDefault="004E20DD" w:rsidP="00E45121">
      <w:pPr>
        <w:numPr>
          <w:ilvl w:val="0"/>
          <w:numId w:val="4"/>
        </w:numPr>
        <w:spacing w:after="240" w:line="300" w:lineRule="auto"/>
        <w:ind w:left="1701" w:hanging="567"/>
        <w:rPr>
          <w:rFonts w:eastAsia="Times New Roman" w:cstheme="minorHAnsi"/>
          <w:lang w:eastAsia="pl-PL"/>
        </w:rPr>
      </w:pPr>
      <w:r w:rsidRPr="00D15279">
        <w:rPr>
          <w:rFonts w:eastAsia="Times New Roman" w:cstheme="minorHAnsi"/>
          <w:lang w:eastAsia="pl-PL"/>
        </w:rPr>
        <w:t>Wartość należności aktualizuje się uwzględniając stopień prawdopodobieństwa ich zapłaty poprzez dokonanie odpisu aktualizującego, nie później niż na dzień bilansowy w odniesieniu do:</w:t>
      </w:r>
    </w:p>
    <w:p w14:paraId="619F23C2" w14:textId="77777777" w:rsidR="004E20DD" w:rsidRPr="00D15279" w:rsidRDefault="004E20DD" w:rsidP="00E45121">
      <w:pPr>
        <w:numPr>
          <w:ilvl w:val="0"/>
          <w:numId w:val="5"/>
        </w:numPr>
        <w:spacing w:after="240" w:line="300" w:lineRule="auto"/>
        <w:ind w:left="2268" w:hanging="567"/>
        <w:rPr>
          <w:rFonts w:eastAsia="Times New Roman" w:cstheme="minorHAnsi"/>
          <w:lang w:eastAsia="pl-PL"/>
        </w:rPr>
      </w:pPr>
      <w:r w:rsidRPr="00D15279">
        <w:rPr>
          <w:rFonts w:eastAsia="Times New Roman" w:cstheme="minorHAnsi"/>
          <w:lang w:eastAsia="pl-PL"/>
        </w:rPr>
        <w:t>należności od dłużników postawionych w stan likwidacji lub w stan upadłości oraz w 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p>
    <w:p w14:paraId="312BADA8" w14:textId="77777777" w:rsidR="004E20DD" w:rsidRPr="00D15279" w:rsidRDefault="004E20DD" w:rsidP="00E45121">
      <w:pPr>
        <w:numPr>
          <w:ilvl w:val="0"/>
          <w:numId w:val="5"/>
        </w:numPr>
        <w:spacing w:after="240" w:line="300" w:lineRule="auto"/>
        <w:ind w:left="2268" w:hanging="567"/>
        <w:rPr>
          <w:rFonts w:eastAsia="Times New Roman" w:cstheme="minorHAnsi"/>
          <w:lang w:eastAsia="pl-PL"/>
        </w:rPr>
      </w:pPr>
      <w:r w:rsidRPr="00D15279">
        <w:rPr>
          <w:rFonts w:eastAsia="Times New Roman" w:cstheme="minorHAnsi"/>
          <w:lang w:eastAsia="pl-PL"/>
        </w:rPr>
        <w:t>należności od dłużników w przypadku oddalenia wniosku o ogłoszenie upadłości, jeżeli majątek dłużnika nie wystarcza lub jedynie wystarcza na zaspokojenie kosztów postępowania upadłościowego – w pełnej wysokości należności,</w:t>
      </w:r>
    </w:p>
    <w:p w14:paraId="73B1DA3F" w14:textId="77777777" w:rsidR="004E20DD" w:rsidRPr="00D15279" w:rsidRDefault="004E20DD" w:rsidP="00E45121">
      <w:pPr>
        <w:numPr>
          <w:ilvl w:val="0"/>
          <w:numId w:val="5"/>
        </w:numPr>
        <w:spacing w:after="240" w:line="300" w:lineRule="auto"/>
        <w:ind w:left="2268" w:hanging="567"/>
        <w:rPr>
          <w:rFonts w:eastAsia="Times New Roman" w:cstheme="minorHAnsi"/>
          <w:lang w:eastAsia="pl-PL"/>
        </w:rPr>
      </w:pPr>
      <w:r w:rsidRPr="00D15279">
        <w:rPr>
          <w:rFonts w:eastAsia="Times New Roman" w:cstheme="minorHAnsi"/>
          <w:lang w:eastAsia="pl-PL"/>
        </w:rPr>
        <w:t>należności kwestionowanych przez dłużników, oraz z których zapłatą dłużnik zalega, a według oceny sytuacji majątkowej i finansowej dłużnika spłata należności w umownej kwocie nie jest prawdopodobna – do wysokości kwoty niepokrytej gwarancją lub innym zabezpieczeniem należności,</w:t>
      </w:r>
    </w:p>
    <w:p w14:paraId="090EA963" w14:textId="77777777" w:rsidR="004E20DD" w:rsidRPr="00D15279" w:rsidRDefault="004E20DD" w:rsidP="00E45121">
      <w:pPr>
        <w:numPr>
          <w:ilvl w:val="0"/>
          <w:numId w:val="5"/>
        </w:numPr>
        <w:spacing w:after="240" w:line="300" w:lineRule="auto"/>
        <w:ind w:left="2268" w:hanging="567"/>
        <w:rPr>
          <w:rFonts w:eastAsia="Times New Roman" w:cstheme="minorHAnsi"/>
          <w:lang w:eastAsia="pl-PL"/>
        </w:rPr>
      </w:pPr>
      <w:r w:rsidRPr="00D15279">
        <w:rPr>
          <w:rFonts w:eastAsia="Times New Roman" w:cstheme="minorHAnsi"/>
          <w:lang w:eastAsia="pl-PL"/>
        </w:rPr>
        <w:t>należności stanowiących równowartość kwot podwyższających należności (np.: odsetki, kary, koszty sądowe), w stosunku do których uprzednio dokonano odpisu aktualizującego – w wysokości tych kwot, do czasu ich otrzymania lub odpisania,</w:t>
      </w:r>
    </w:p>
    <w:p w14:paraId="1284F03E" w14:textId="77777777" w:rsidR="004E20DD" w:rsidRPr="00D15279" w:rsidRDefault="004E20DD" w:rsidP="00E45121">
      <w:pPr>
        <w:numPr>
          <w:ilvl w:val="0"/>
          <w:numId w:val="5"/>
        </w:numPr>
        <w:spacing w:after="240" w:line="300" w:lineRule="auto"/>
        <w:ind w:left="2268" w:hanging="567"/>
        <w:rPr>
          <w:rFonts w:eastAsia="Times New Roman" w:cstheme="minorHAnsi"/>
          <w:lang w:eastAsia="pl-PL"/>
        </w:rPr>
      </w:pPr>
      <w:r w:rsidRPr="00D15279">
        <w:rPr>
          <w:rFonts w:eastAsia="Times New Roman" w:cstheme="minorHAnsi"/>
          <w:lang w:eastAsia="pl-PL"/>
        </w:rPr>
        <w:t>należności nieprzeterminowanych od stron trzecich, w przypadku których utworzono już dla wcześniejszych należności odpisy aktualizujące,</w:t>
      </w:r>
    </w:p>
    <w:p w14:paraId="1101339F" w14:textId="77777777" w:rsidR="004E20DD" w:rsidRPr="00D15279" w:rsidRDefault="004E20DD" w:rsidP="00E45121">
      <w:pPr>
        <w:numPr>
          <w:ilvl w:val="0"/>
          <w:numId w:val="5"/>
        </w:numPr>
        <w:spacing w:after="240" w:line="300" w:lineRule="auto"/>
        <w:ind w:left="2268" w:hanging="567"/>
        <w:rPr>
          <w:rFonts w:eastAsia="Times New Roman" w:cstheme="minorHAnsi"/>
          <w:lang w:eastAsia="pl-PL"/>
        </w:rPr>
      </w:pPr>
      <w:r w:rsidRPr="00D15279">
        <w:rPr>
          <w:rFonts w:eastAsia="Times New Roman" w:cstheme="minorHAnsi"/>
          <w:lang w:eastAsia="pl-PL"/>
        </w:rPr>
        <w:t>należności przeterminowanych o znacznym stopniu prawdopodobieństwa nieściągalności – dokonuje się:</w:t>
      </w:r>
      <w:r w:rsidRPr="00D15279">
        <w:rPr>
          <w:rFonts w:eastAsia="Times New Roman" w:cstheme="minorHAnsi"/>
          <w:lang w:eastAsia="pl-PL"/>
        </w:rPr>
        <w:br/>
        <w:t>- indywidualnego odpisu aktualizującego dla należności od dłużników, których kwota zaległości jest równa lub wyższa od kwoty 500.000 zł,</w:t>
      </w:r>
      <w:r w:rsidRPr="00D15279">
        <w:rPr>
          <w:rFonts w:eastAsia="Times New Roman" w:cstheme="minorHAnsi"/>
          <w:lang w:eastAsia="pl-PL"/>
        </w:rPr>
        <w:br/>
        <w:t>- ogólnego odpisu aktualizującego dla pozostałych należności, według zasad opisanych poniżej,</w:t>
      </w:r>
    </w:p>
    <w:p w14:paraId="76261DF8" w14:textId="79DF831B" w:rsidR="004E20DD" w:rsidRPr="00D15279" w:rsidRDefault="004E20DD" w:rsidP="00E45121">
      <w:pPr>
        <w:numPr>
          <w:ilvl w:val="0"/>
          <w:numId w:val="5"/>
        </w:numPr>
        <w:spacing w:after="240" w:line="300" w:lineRule="auto"/>
        <w:ind w:left="2268" w:hanging="567"/>
        <w:rPr>
          <w:rFonts w:eastAsia="Times New Roman" w:cstheme="minorHAnsi"/>
          <w:lang w:eastAsia="pl-PL"/>
        </w:rPr>
      </w:pPr>
      <w:r w:rsidRPr="00D15279">
        <w:rPr>
          <w:rFonts w:eastAsia="Times New Roman" w:cstheme="minorHAnsi"/>
          <w:lang w:eastAsia="pl-PL"/>
        </w:rPr>
        <w:t>należności nieprzeterminowanych o znacznym stopniu prawdopodobieństwa nieściągalności – dokonuje się indywidualnego odpisu aktualizującego.</w:t>
      </w:r>
    </w:p>
    <w:p w14:paraId="2F58B0AD" w14:textId="6C3B1F04" w:rsidR="004E20DD" w:rsidRPr="00D15279" w:rsidRDefault="004E20DD" w:rsidP="00E45121">
      <w:pPr>
        <w:numPr>
          <w:ilvl w:val="0"/>
          <w:numId w:val="4"/>
        </w:numPr>
        <w:spacing w:after="240" w:line="300" w:lineRule="auto"/>
        <w:ind w:left="1701" w:hanging="567"/>
        <w:rPr>
          <w:rFonts w:eastAsia="Times New Roman" w:cstheme="minorHAnsi"/>
          <w:lang w:eastAsia="pl-PL"/>
        </w:rPr>
      </w:pPr>
      <w:r w:rsidRPr="00D15279">
        <w:rPr>
          <w:rFonts w:eastAsia="Times New Roman" w:cstheme="minorHAnsi"/>
          <w:lang w:eastAsia="pl-PL"/>
        </w:rPr>
        <w:t>W przypadku utworzenia indywidualnego odpisu aktualizującego wartość należności, biuro merytoryczne/wydział merytoryczny bierze pod uwagę w szczególności następujące czynniki: czas zalegania kontrahenta z zapłatą, wyniki indywidualnych monitów, przyczyny zwłoki w zapłacie, posiadane gwarancje i zabezpieczenia. Wartość indywidualnego odpisu aktualizującego należności określa się jako różnicę pomiędzy wartością należności w księgach a najbardziej prawdopodobną kwotą wpływu tych należności.</w:t>
      </w:r>
    </w:p>
    <w:p w14:paraId="787EA0CE" w14:textId="250FA10D" w:rsidR="004E20DD" w:rsidRPr="00D15279" w:rsidRDefault="004E20DD" w:rsidP="00E45121">
      <w:pPr>
        <w:numPr>
          <w:ilvl w:val="0"/>
          <w:numId w:val="4"/>
        </w:numPr>
        <w:spacing w:after="240" w:line="300" w:lineRule="auto"/>
        <w:ind w:left="1701" w:hanging="567"/>
        <w:rPr>
          <w:rFonts w:eastAsia="Times New Roman" w:cstheme="minorHAnsi"/>
          <w:lang w:eastAsia="pl-PL"/>
        </w:rPr>
      </w:pPr>
      <w:r w:rsidRPr="00D15279">
        <w:rPr>
          <w:rFonts w:eastAsia="Times New Roman" w:cstheme="minorHAnsi"/>
          <w:lang w:eastAsia="pl-PL"/>
        </w:rPr>
        <w:t>Ogólny odpis aktualizujący wartość należności, dokonywany jest metodą wiekowania należności. Przy tworzeniu odpisu ogólnego nie uwzględnia się już należności objętych odpisem indywidualnym i postępuje się według następujących zasad:</w:t>
      </w:r>
    </w:p>
    <w:p w14:paraId="2CEBF560" w14:textId="77777777" w:rsidR="004E20DD" w:rsidRPr="00D15279" w:rsidRDefault="004E20DD" w:rsidP="00E45121">
      <w:pPr>
        <w:numPr>
          <w:ilvl w:val="0"/>
          <w:numId w:val="2"/>
        </w:numPr>
        <w:autoSpaceDE w:val="0"/>
        <w:autoSpaceDN w:val="0"/>
        <w:adjustRightInd w:val="0"/>
        <w:spacing w:after="240" w:line="300" w:lineRule="auto"/>
        <w:ind w:left="2268" w:hanging="567"/>
        <w:rPr>
          <w:rFonts w:eastAsia="Arial" w:cstheme="minorHAnsi"/>
          <w:lang w:eastAsia="pl-PL"/>
        </w:rPr>
      </w:pPr>
      <w:r w:rsidRPr="00D15279">
        <w:rPr>
          <w:rFonts w:eastAsia="Arial" w:cstheme="minorHAnsi"/>
          <w:lang w:eastAsia="pl-PL"/>
        </w:rPr>
        <w:t>należności przeterminowane poniżej 180 dni włącznie – nie są objęte odpisem;</w:t>
      </w:r>
    </w:p>
    <w:p w14:paraId="73312522" w14:textId="77777777" w:rsidR="004E20DD" w:rsidRPr="00D15279" w:rsidRDefault="004E20DD" w:rsidP="00E45121">
      <w:pPr>
        <w:numPr>
          <w:ilvl w:val="0"/>
          <w:numId w:val="2"/>
        </w:numPr>
        <w:autoSpaceDE w:val="0"/>
        <w:autoSpaceDN w:val="0"/>
        <w:adjustRightInd w:val="0"/>
        <w:spacing w:after="240" w:line="300" w:lineRule="auto"/>
        <w:ind w:left="2268" w:hanging="567"/>
        <w:rPr>
          <w:rFonts w:eastAsia="Arial" w:cstheme="minorHAnsi"/>
          <w:lang w:eastAsia="pl-PL"/>
        </w:rPr>
      </w:pPr>
      <w:r w:rsidRPr="00D15279">
        <w:rPr>
          <w:rFonts w:eastAsia="Arial" w:cstheme="minorHAnsi"/>
          <w:lang w:eastAsia="pl-PL"/>
        </w:rPr>
        <w:t>należności przeterminowane od 181 do 365 dni włącznie – objęte są odpisem aktualizującym w wysokości 50% wartości tych należności;</w:t>
      </w:r>
    </w:p>
    <w:p w14:paraId="3F6A9192" w14:textId="77777777" w:rsidR="004E20DD" w:rsidRPr="00D15279" w:rsidRDefault="004E20DD" w:rsidP="00E45121">
      <w:pPr>
        <w:numPr>
          <w:ilvl w:val="0"/>
          <w:numId w:val="2"/>
        </w:numPr>
        <w:autoSpaceDE w:val="0"/>
        <w:autoSpaceDN w:val="0"/>
        <w:adjustRightInd w:val="0"/>
        <w:spacing w:after="240" w:line="300" w:lineRule="auto"/>
        <w:ind w:left="2268" w:hanging="567"/>
        <w:rPr>
          <w:rFonts w:eastAsia="Arial" w:cstheme="minorHAnsi"/>
          <w:lang w:eastAsia="pl-PL"/>
        </w:rPr>
      </w:pPr>
      <w:r w:rsidRPr="00D15279">
        <w:rPr>
          <w:rFonts w:eastAsia="Arial" w:cstheme="minorHAnsi"/>
          <w:lang w:eastAsia="pl-PL"/>
        </w:rPr>
        <w:t>należności przeterminowane powyżej 365 dni – objęte są odpisem aktualizującym w wysokości 100% wartości tych należności.</w:t>
      </w:r>
    </w:p>
    <w:p w14:paraId="765F7091" w14:textId="76C029A3" w:rsidR="004E20DD" w:rsidRPr="00D15279" w:rsidRDefault="004E20DD" w:rsidP="00E45121">
      <w:pPr>
        <w:numPr>
          <w:ilvl w:val="0"/>
          <w:numId w:val="4"/>
        </w:numPr>
        <w:spacing w:after="240" w:line="300" w:lineRule="auto"/>
        <w:ind w:left="1701" w:hanging="567"/>
        <w:rPr>
          <w:rFonts w:eastAsia="Arial" w:cstheme="minorHAnsi"/>
        </w:rPr>
      </w:pPr>
      <w:r w:rsidRPr="00D15279">
        <w:rPr>
          <w:rFonts w:eastAsia="Arial" w:cstheme="minorHAnsi"/>
          <w:color w:val="000000"/>
        </w:rPr>
        <w:t>Odpisu aktualizującego dla odsetek za zwłokę dokonuje się w pełnej wysokości naliczonych odsetek za zwłokę, zarówno do odsetek naliczonych od należności objętych indywidualnym i ogólnym odpisem</w:t>
      </w:r>
      <w:r w:rsidRPr="00D15279">
        <w:rPr>
          <w:rFonts w:eastAsia="Arial" w:cstheme="minorHAnsi"/>
        </w:rPr>
        <w:t xml:space="preserve"> aktualizującym.</w:t>
      </w:r>
    </w:p>
    <w:p w14:paraId="466E6569" w14:textId="668C7AAB" w:rsidR="004E20DD" w:rsidRPr="00D15279" w:rsidRDefault="004E20DD" w:rsidP="00E45121">
      <w:pPr>
        <w:numPr>
          <w:ilvl w:val="0"/>
          <w:numId w:val="4"/>
        </w:numPr>
        <w:spacing w:after="240" w:line="300" w:lineRule="auto"/>
        <w:ind w:left="1701" w:hanging="567"/>
        <w:rPr>
          <w:rFonts w:eastAsia="Arial" w:cstheme="minorHAnsi"/>
          <w:color w:val="000000"/>
        </w:rPr>
      </w:pPr>
      <w:r w:rsidRPr="00D15279">
        <w:rPr>
          <w:rFonts w:eastAsia="Arial" w:cstheme="minorHAnsi"/>
          <w:color w:val="000000"/>
        </w:rPr>
        <w:t xml:space="preserve">W </w:t>
      </w:r>
      <w:r w:rsidRPr="00D15279">
        <w:rPr>
          <w:rFonts w:eastAsia="Times New Roman" w:cstheme="minorHAnsi"/>
          <w:lang w:eastAsia="pl-PL"/>
        </w:rPr>
        <w:t>przypadku</w:t>
      </w:r>
      <w:r w:rsidRPr="00D15279">
        <w:rPr>
          <w:rFonts w:eastAsia="Arial" w:cstheme="minorHAnsi"/>
          <w:color w:val="000000"/>
        </w:rPr>
        <w:t xml:space="preserve"> szczególnych grup należności tj. z tytułu opłat za wycinkę drzew i krzewów, należności z tytułu opłat za odpady komunalne oraz należności z tytułu opłat za korzystanie z zezwoleń na sprzedaż napojów alkoholowych, odpisu aktualizującego wartość należności dokonuje się następująco:</w:t>
      </w:r>
    </w:p>
    <w:p w14:paraId="14353501" w14:textId="0EB5911B" w:rsidR="004E20DD" w:rsidRPr="00D15279" w:rsidRDefault="004E20DD" w:rsidP="00E45121">
      <w:pPr>
        <w:numPr>
          <w:ilvl w:val="0"/>
          <w:numId w:val="3"/>
        </w:numPr>
        <w:autoSpaceDE w:val="0"/>
        <w:autoSpaceDN w:val="0"/>
        <w:adjustRightInd w:val="0"/>
        <w:spacing w:after="240" w:line="300" w:lineRule="auto"/>
        <w:ind w:left="2268" w:hanging="567"/>
        <w:rPr>
          <w:rFonts w:eastAsia="Arial" w:cstheme="minorHAnsi"/>
          <w:lang w:eastAsia="pl-PL"/>
        </w:rPr>
      </w:pPr>
      <w:r w:rsidRPr="00D15279">
        <w:rPr>
          <w:rFonts w:eastAsia="Arial" w:cstheme="minorHAnsi"/>
          <w:lang w:eastAsia="pl-PL"/>
        </w:rPr>
        <w:t>wydziały dla dzielnic właściwe w sprawach budżetowo – księgowych, wyodrębniają należności do wyliczenia odpisu indywidualnego oraz dla pozostałych należności wyliczają odpis ogólny, oddzielnie dla należności z tytułu wycinki drzew i krzewów, dla należności za odpady komunalne, dla należności za korzystanie z zezwoleń na sprzedaż napojów alkoholowych i sporządzają informację o wysokości odpisu indywidualnego i ogólnego dla ww. należności, którą przekazują do Biura Księgowości i Kontrasygnaty,</w:t>
      </w:r>
    </w:p>
    <w:p w14:paraId="583F2241" w14:textId="724DE232" w:rsidR="004E20DD" w:rsidRPr="00D15279" w:rsidRDefault="004E20DD" w:rsidP="00E45121">
      <w:pPr>
        <w:numPr>
          <w:ilvl w:val="0"/>
          <w:numId w:val="3"/>
        </w:numPr>
        <w:autoSpaceDE w:val="0"/>
        <w:autoSpaceDN w:val="0"/>
        <w:adjustRightInd w:val="0"/>
        <w:spacing w:after="240" w:line="300" w:lineRule="auto"/>
        <w:ind w:left="2268" w:hanging="567"/>
        <w:rPr>
          <w:rFonts w:eastAsia="Arial" w:cstheme="minorHAnsi"/>
          <w:lang w:eastAsia="pl-PL"/>
        </w:rPr>
      </w:pPr>
      <w:r w:rsidRPr="00D15279">
        <w:rPr>
          <w:rFonts w:eastAsia="Arial" w:cstheme="minorHAnsi"/>
          <w:lang w:eastAsia="pl-PL"/>
        </w:rPr>
        <w:t>Biuro Księgowości i Kontrasygnaty – na podstawie przekazanej przez wydziały dla dzielnic właściwe w sprawach budżetowo-księgowych, informacji o wysokości odpisu indywidualnego i ogólnego, dokonuje w księgach rachunkowych Urzędu m.st. Warszawy odpisu aktualizującego wartość należności z tytułu opłat za wycinkę drzew i</w:t>
      </w:r>
      <w:r w:rsidR="00E45121">
        <w:rPr>
          <w:rFonts w:eastAsia="Arial" w:cstheme="minorHAnsi"/>
          <w:lang w:eastAsia="pl-PL"/>
        </w:rPr>
        <w:t xml:space="preserve"> </w:t>
      </w:r>
      <w:r w:rsidRPr="00D15279">
        <w:rPr>
          <w:rFonts w:eastAsia="Arial" w:cstheme="minorHAnsi"/>
          <w:lang w:eastAsia="pl-PL"/>
        </w:rPr>
        <w:t>krzewów, należności z tytułu opłat za odpady komunalne i należności z tytułu opłat za korzystanie z zezwoleń na sprzedaż napojów alkoholowych.</w:t>
      </w:r>
    </w:p>
    <w:p w14:paraId="4EFA6185" w14:textId="77777777" w:rsidR="00922E5C" w:rsidRPr="00D15279" w:rsidRDefault="004E20DD" w:rsidP="00E45121">
      <w:pPr>
        <w:numPr>
          <w:ilvl w:val="0"/>
          <w:numId w:val="4"/>
        </w:numPr>
        <w:spacing w:after="240" w:line="300" w:lineRule="auto"/>
        <w:ind w:left="1701" w:hanging="567"/>
        <w:rPr>
          <w:rFonts w:eastAsia="Times New Roman" w:cstheme="minorHAnsi"/>
          <w:strike/>
          <w:lang w:eastAsia="pl-PL"/>
        </w:rPr>
      </w:pPr>
      <w:r w:rsidRPr="00D15279">
        <w:rPr>
          <w:rFonts w:eastAsia="Times New Roman" w:cstheme="minorHAnsi"/>
          <w:lang w:eastAsia="pl-PL"/>
        </w:rPr>
        <w:t>Odpis aktualizujący dla należności z tytułu zaliczki alimentacyjnej i funduszu alimentacyjnego dokonywany jest:</w:t>
      </w:r>
    </w:p>
    <w:p w14:paraId="5D82DAAC" w14:textId="77777777" w:rsidR="00922E5C" w:rsidRPr="00D15279" w:rsidRDefault="004E20DD" w:rsidP="00E45121">
      <w:pPr>
        <w:numPr>
          <w:ilvl w:val="1"/>
          <w:numId w:val="4"/>
        </w:numPr>
        <w:spacing w:after="240" w:line="300" w:lineRule="auto"/>
        <w:ind w:left="2268" w:hanging="567"/>
        <w:rPr>
          <w:rFonts w:eastAsia="Times New Roman" w:cstheme="minorHAnsi"/>
          <w:strike/>
          <w:lang w:eastAsia="pl-PL"/>
        </w:rPr>
      </w:pPr>
      <w:r w:rsidRPr="00D15279">
        <w:rPr>
          <w:rFonts w:eastAsia="Times New Roman" w:cstheme="minorHAnsi"/>
          <w:lang w:eastAsia="pl-PL"/>
        </w:rPr>
        <w:t>indywidualnie - na podstawie otrzymanych od komornika sądowego informacji określających stopień ich nieściągalności w odniesieniu do poszczególnych dłużników alimentacyjnych,</w:t>
      </w:r>
    </w:p>
    <w:p w14:paraId="09120EFA" w14:textId="30EB87F5" w:rsidR="004E20DD" w:rsidRPr="00D15279" w:rsidRDefault="004E20DD" w:rsidP="00E45121">
      <w:pPr>
        <w:numPr>
          <w:ilvl w:val="1"/>
          <w:numId w:val="4"/>
        </w:numPr>
        <w:spacing w:after="240" w:line="300" w:lineRule="auto"/>
        <w:ind w:left="2268" w:hanging="567"/>
        <w:rPr>
          <w:rFonts w:eastAsia="Times New Roman" w:cstheme="minorHAnsi"/>
          <w:strike/>
          <w:lang w:eastAsia="pl-PL"/>
        </w:rPr>
      </w:pPr>
      <w:r w:rsidRPr="00D15279">
        <w:rPr>
          <w:rFonts w:eastAsia="Times New Roman" w:cstheme="minorHAnsi"/>
          <w:lang w:eastAsia="pl-PL"/>
        </w:rPr>
        <w:t>dla pozostałych należności (do których nie otrzymano informacji od komorników sądowych) – ogólnym odpisem według raportu wiekowania.</w:t>
      </w:r>
      <w:r w:rsidR="00DD7D2F">
        <w:rPr>
          <w:rFonts w:eastAsia="Times New Roman" w:cstheme="minorHAnsi"/>
          <w:lang w:eastAsia="pl-PL"/>
        </w:rPr>
        <w:t xml:space="preserve"> </w:t>
      </w:r>
      <w:r w:rsidRPr="00D15279">
        <w:rPr>
          <w:rFonts w:eastAsia="Times New Roman" w:cstheme="minorHAnsi"/>
          <w:lang w:eastAsia="pl-PL"/>
        </w:rPr>
        <w:t>Księgowanie odpisu aktualizującego dla należności z tytułu zaliczki alimentacyjnej i funduszu alimentacyjnego dokonywane jest przez wydziały dla dzielnic właściwe w sprawach budżetowo – księgowych w części należnej Skarbowi Państwa i w części należnej m.st. Warszawa.</w:t>
      </w:r>
    </w:p>
    <w:p w14:paraId="14D54DDC" w14:textId="5CBE25A7" w:rsidR="004E20DD" w:rsidRPr="00D15279" w:rsidRDefault="004E20DD" w:rsidP="00E45121">
      <w:pPr>
        <w:numPr>
          <w:ilvl w:val="0"/>
          <w:numId w:val="4"/>
        </w:numPr>
        <w:spacing w:after="240" w:line="300" w:lineRule="auto"/>
        <w:ind w:left="1701" w:hanging="567"/>
        <w:rPr>
          <w:rFonts w:eastAsia="Arial" w:cstheme="minorHAnsi"/>
        </w:rPr>
      </w:pPr>
      <w:r w:rsidRPr="00D15279">
        <w:rPr>
          <w:rFonts w:eastAsia="Times New Roman" w:cstheme="minorHAnsi"/>
          <w:lang w:eastAsia="pl-PL"/>
        </w:rPr>
        <w:t>Zgodnie</w:t>
      </w:r>
      <w:r w:rsidRPr="00D15279">
        <w:rPr>
          <w:rFonts w:eastAsia="Arial" w:cstheme="minorHAnsi"/>
        </w:rPr>
        <w:t xml:space="preserve"> z zasadą ostrożnej wyceny, odpisy aktualizujące wartość należności uwzględniają również te przyczyny ich dokonania, które wystąpiły po dniu bilansowym, ale zostały ujawnione do sporządzenia bilansu, np. zgon dłużnika, postanowienie o ogłoszeniu upadłości.</w:t>
      </w:r>
    </w:p>
    <w:p w14:paraId="5618BDDF" w14:textId="56CB9C24" w:rsidR="004E20DD" w:rsidRPr="00D15279" w:rsidRDefault="004E20DD" w:rsidP="00E45121">
      <w:pPr>
        <w:spacing w:after="240" w:line="300" w:lineRule="auto"/>
        <w:ind w:left="1134"/>
        <w:rPr>
          <w:rFonts w:eastAsia="Times New Roman" w:cstheme="minorHAnsi"/>
          <w:lang w:eastAsia="pl-PL"/>
        </w:rPr>
      </w:pPr>
      <w:r w:rsidRPr="00D15279">
        <w:rPr>
          <w:rFonts w:eastAsia="Times New Roman" w:cstheme="minorHAnsi"/>
          <w:lang w:eastAsia="pl-PL"/>
        </w:rPr>
        <w:t>W przypadku zaistnienia pomiędzy dniem bilansowym a dniem sporządzenia sprawozdania finansowego zdarzeń wpływających na wartość ustalonego już na dzień bilansowy odpisu aktualizującego wartość należności, dopuszcza się nie dokonywanie zmian w wartości dokonanego odpisu, dla należności których zgodnie z niniejszym zarządzeniem taki odpis byłby tworzony, gdy należności te zostały zapłacone do dnia sporządzenia sprawozdania finansowego za rok obrotowy, o ile łączny wpływ tych zdarzeń powodowałby zmianę wartości odpisu o nie więcej niż 0,5% wartości odpisów aktualizujących należności za rok poprzedni.</w:t>
      </w:r>
    </w:p>
    <w:p w14:paraId="0E3902C2" w14:textId="5CDF6B54" w:rsidR="004E20DD" w:rsidRPr="00D15279" w:rsidRDefault="004E20DD" w:rsidP="00E45121">
      <w:pPr>
        <w:pStyle w:val="Akapitzlist"/>
        <w:numPr>
          <w:ilvl w:val="0"/>
          <w:numId w:val="15"/>
        </w:numPr>
        <w:spacing w:after="240" w:line="300" w:lineRule="auto"/>
        <w:rPr>
          <w:rFonts w:eastAsia="Times New Roman" w:cstheme="minorHAnsi"/>
          <w:lang w:eastAsia="pl-PL"/>
        </w:rPr>
      </w:pPr>
      <w:r w:rsidRPr="00D15279">
        <w:rPr>
          <w:rFonts w:eastAsia="Times New Roman" w:cstheme="minorHAnsi"/>
          <w:lang w:eastAsia="pl-PL"/>
        </w:rPr>
        <w:t>Ewidencja w księgach rachunkowych odpisu aktualizującego wartość należności i prezentacja w rachunku zysków i strat.</w:t>
      </w:r>
    </w:p>
    <w:p w14:paraId="3C2B91C9" w14:textId="77777777" w:rsidR="004E20DD" w:rsidRPr="00D15279" w:rsidRDefault="004E20DD" w:rsidP="00E45121">
      <w:pPr>
        <w:numPr>
          <w:ilvl w:val="0"/>
          <w:numId w:val="11"/>
        </w:numPr>
        <w:spacing w:after="240" w:line="300" w:lineRule="auto"/>
        <w:ind w:left="1701" w:hanging="567"/>
        <w:rPr>
          <w:rFonts w:eastAsia="Times New Roman" w:cstheme="minorHAnsi"/>
          <w:lang w:eastAsia="pl-PL"/>
        </w:rPr>
      </w:pPr>
      <w:r w:rsidRPr="00D15279">
        <w:rPr>
          <w:rFonts w:eastAsia="Times New Roman" w:cstheme="minorHAnsi"/>
          <w:lang w:eastAsia="pl-PL"/>
        </w:rPr>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6E84A688" w14:textId="77777777" w:rsidR="004E20DD" w:rsidRPr="00D15279" w:rsidRDefault="004E20DD" w:rsidP="00E45121">
      <w:pPr>
        <w:numPr>
          <w:ilvl w:val="0"/>
          <w:numId w:val="6"/>
        </w:numPr>
        <w:spacing w:after="240" w:line="300" w:lineRule="auto"/>
        <w:ind w:left="2268" w:hanging="567"/>
        <w:rPr>
          <w:rFonts w:eastAsia="Times New Roman" w:cstheme="minorHAnsi"/>
          <w:lang w:eastAsia="pl-PL"/>
        </w:rPr>
      </w:pPr>
      <w:r w:rsidRPr="00D15279">
        <w:rPr>
          <w:rFonts w:eastAsia="Times New Roman" w:cstheme="minorHAnsi"/>
          <w:lang w:eastAsia="pl-PL"/>
        </w:rPr>
        <w:t xml:space="preserve">odpisy aktualizujące wartość należności z tytułu rozchodów budżetu zalicza się do wyników na pozostałych operacjach </w:t>
      </w:r>
      <w:proofErr w:type="spellStart"/>
      <w:r w:rsidRPr="00D15279">
        <w:rPr>
          <w:rFonts w:eastAsia="Times New Roman" w:cstheme="minorHAnsi"/>
          <w:lang w:eastAsia="pl-PL"/>
        </w:rPr>
        <w:t>niekasowych</w:t>
      </w:r>
      <w:proofErr w:type="spellEnd"/>
      <w:r w:rsidRPr="00D15279">
        <w:rPr>
          <w:rFonts w:eastAsia="Times New Roman" w:cstheme="minorHAnsi"/>
          <w:lang w:eastAsia="pl-PL"/>
        </w:rPr>
        <w:t>,</w:t>
      </w:r>
    </w:p>
    <w:p w14:paraId="71F5996D" w14:textId="77777777" w:rsidR="004E20DD" w:rsidRPr="00D15279" w:rsidRDefault="004E20DD" w:rsidP="00E45121">
      <w:pPr>
        <w:numPr>
          <w:ilvl w:val="0"/>
          <w:numId w:val="6"/>
        </w:numPr>
        <w:spacing w:after="240" w:line="300" w:lineRule="auto"/>
        <w:ind w:left="2268" w:hanging="567"/>
        <w:rPr>
          <w:rFonts w:eastAsia="Times New Roman" w:cstheme="minorHAnsi"/>
          <w:lang w:eastAsia="pl-PL"/>
        </w:rPr>
      </w:pPr>
      <w:r w:rsidRPr="00D15279">
        <w:rPr>
          <w:rFonts w:eastAsia="Times New Roman" w:cstheme="minorHAnsi"/>
          <w:lang w:eastAsia="pl-PL"/>
        </w:rPr>
        <w:t>odpisy aktualizujące wartość należności dotyczących funduszy tworzonych na podstawie ustaw obciążają fundusze.</w:t>
      </w:r>
    </w:p>
    <w:p w14:paraId="760BEBB2" w14:textId="77777777" w:rsidR="004E20DD" w:rsidRPr="00D15279" w:rsidRDefault="004E20DD" w:rsidP="00E45121">
      <w:pPr>
        <w:numPr>
          <w:ilvl w:val="0"/>
          <w:numId w:val="11"/>
        </w:numPr>
        <w:spacing w:after="240" w:line="300" w:lineRule="auto"/>
        <w:ind w:left="1701" w:hanging="567"/>
        <w:rPr>
          <w:rFonts w:eastAsia="Times New Roman" w:cstheme="minorHAnsi"/>
          <w:lang w:eastAsia="pl-PL"/>
        </w:rPr>
      </w:pPr>
      <w:r w:rsidRPr="00D15279">
        <w:rPr>
          <w:rFonts w:eastAsia="Times New Roman" w:cstheme="minorHAnsi"/>
          <w:lang w:eastAsia="pl-PL"/>
        </w:rPr>
        <w:t>Wykorzystanie odpisu aktualizującego następuje w wyniku zmniejszenia wartości odpisu aktualizacyjnego w przypadku umorzenia, przedawnienia, nieściągalności należności.</w:t>
      </w:r>
    </w:p>
    <w:p w14:paraId="425E0AAB" w14:textId="05020909" w:rsidR="004E20DD" w:rsidRPr="00D15279" w:rsidRDefault="004E20DD" w:rsidP="00E45121">
      <w:pPr>
        <w:numPr>
          <w:ilvl w:val="0"/>
          <w:numId w:val="11"/>
        </w:numPr>
        <w:spacing w:after="240" w:line="300" w:lineRule="auto"/>
        <w:ind w:left="1701" w:hanging="567"/>
        <w:rPr>
          <w:rFonts w:eastAsia="Times New Roman" w:cstheme="minorHAnsi"/>
          <w:color w:val="000000"/>
          <w:lang w:eastAsia="pl-PL"/>
        </w:rPr>
      </w:pPr>
      <w:r w:rsidRPr="00D15279">
        <w:rPr>
          <w:rFonts w:eastAsia="Times New Roman" w:cstheme="minorHAnsi"/>
          <w:lang w:eastAsia="pl-PL"/>
        </w:rPr>
        <w:t xml:space="preserve">Rozwiązanie odpisu aktualizującego następuje w wyniku </w:t>
      </w:r>
      <w:r w:rsidRPr="00D15279">
        <w:rPr>
          <w:rFonts w:eastAsia="Times New Roman" w:cstheme="minorHAnsi"/>
          <w:color w:val="000000"/>
          <w:lang w:eastAsia="pl-PL"/>
        </w:rPr>
        <w:t>ustania przyczyny, dla której dokonano odpisu aktualizacyjnego należności, tj. dokonania zapłaty przez dłużnika.</w:t>
      </w:r>
    </w:p>
    <w:p w14:paraId="2CCC1777" w14:textId="5C31FE9F" w:rsidR="004E20DD" w:rsidRPr="00D15279" w:rsidRDefault="004E20DD" w:rsidP="00E45121">
      <w:pPr>
        <w:numPr>
          <w:ilvl w:val="0"/>
          <w:numId w:val="11"/>
        </w:numPr>
        <w:spacing w:after="240" w:line="300" w:lineRule="auto"/>
        <w:ind w:left="1701" w:hanging="567"/>
        <w:rPr>
          <w:rFonts w:eastAsia="Arial" w:cstheme="minorHAnsi"/>
          <w:color w:val="000000"/>
        </w:rPr>
      </w:pPr>
      <w:r w:rsidRPr="00D15279">
        <w:rPr>
          <w:rFonts w:eastAsia="Times New Roman" w:cstheme="minorHAnsi"/>
          <w:lang w:eastAsia="pl-PL"/>
        </w:rPr>
        <w:t xml:space="preserve">Odpis aktualizujący księguje się poprzez zmniejszenie </w:t>
      </w:r>
      <w:r w:rsidRPr="00D15279">
        <w:rPr>
          <w:rFonts w:eastAsia="Arial" w:cstheme="minorHAnsi"/>
          <w:color w:val="000000"/>
        </w:rPr>
        <w:t>wartości należności na koncie odpisów aktualizujących należności, przy jednoczesnym pozostawieniu pierwotnej wartości należności na koncie należności (tj. pozostawieniu należności w ewidencji). Nie ma obowiązku przypisywania ogólnego odpisu aktualizującego należności do konkretnych kontrahentów.</w:t>
      </w:r>
    </w:p>
    <w:p w14:paraId="2CAD05CD" w14:textId="3A2147A1" w:rsidR="004E20DD" w:rsidRPr="00D15279" w:rsidRDefault="004E20DD" w:rsidP="00E45121">
      <w:pPr>
        <w:numPr>
          <w:ilvl w:val="0"/>
          <w:numId w:val="11"/>
        </w:numPr>
        <w:spacing w:after="240" w:line="300" w:lineRule="auto"/>
        <w:ind w:left="1701" w:hanging="567"/>
        <w:rPr>
          <w:rFonts w:eastAsia="Times New Roman" w:cstheme="minorHAnsi"/>
          <w:lang w:eastAsia="pl-PL"/>
        </w:rPr>
      </w:pPr>
      <w:r w:rsidRPr="00D15279">
        <w:rPr>
          <w:rFonts w:eastAsia="Times New Roman" w:cstheme="minorHAnsi"/>
          <w:lang w:eastAsia="pl-PL"/>
        </w:rPr>
        <w:t>W przypadku odpisów aktualizujących wartość należności tworzonych indywidualnie, oddzielnie rozpatruje się konieczność rozwiązania lub utworzenia odpisu aktualizującego wartość należności dla każdej należności. W ewidencji księgowej zmniejszenie odpisu aktualizującego tj. równowartości całości lub odpowiedniej części uprzednio dokonanego odpisu aktualizującego (w szczególności w wyniku ustania przyczyny utworzenia) odnoszone jest w pozostałe przychody operacyjne lub przychody finansowe (zależnie od rodzaju należności, której dotyczy odpis aktualizujący). Zwiększenie odpisu aktualizującego odnoszone jest w pozostałe koszty operacyjne lub koszty finansowe.</w:t>
      </w:r>
    </w:p>
    <w:p w14:paraId="04C44D96" w14:textId="29C5CF85" w:rsidR="004E20DD" w:rsidRPr="00D15279" w:rsidRDefault="004E20DD" w:rsidP="00E45121">
      <w:pPr>
        <w:numPr>
          <w:ilvl w:val="0"/>
          <w:numId w:val="11"/>
        </w:numPr>
        <w:spacing w:after="240" w:line="300" w:lineRule="auto"/>
        <w:ind w:left="1701" w:hanging="567"/>
        <w:rPr>
          <w:rFonts w:eastAsia="Times New Roman" w:cstheme="minorHAnsi"/>
          <w:lang w:eastAsia="pl-PL"/>
        </w:rPr>
      </w:pPr>
      <w:r w:rsidRPr="00D15279">
        <w:rPr>
          <w:rFonts w:eastAsia="Times New Roman" w:cstheme="minorHAnsi"/>
          <w:lang w:eastAsia="pl-PL"/>
        </w:rPr>
        <w:t>Dokonując prezentacji w rachunku zysków i strat, powstałe przychody i koszty wynikające z powyższych księgowań nie podlegają kompensacie tj.:</w:t>
      </w:r>
    </w:p>
    <w:p w14:paraId="79E12B3C" w14:textId="77777777" w:rsidR="004E20DD" w:rsidRPr="00D15279" w:rsidRDefault="004E20DD" w:rsidP="00E45121">
      <w:pPr>
        <w:numPr>
          <w:ilvl w:val="0"/>
          <w:numId w:val="7"/>
        </w:numPr>
        <w:spacing w:after="240" w:line="300" w:lineRule="auto"/>
        <w:ind w:left="2268" w:hanging="567"/>
        <w:rPr>
          <w:rFonts w:eastAsia="Times New Roman" w:cstheme="minorHAnsi"/>
          <w:lang w:eastAsia="pl-PL"/>
        </w:rPr>
      </w:pPr>
      <w:r w:rsidRPr="00D15279">
        <w:rPr>
          <w:rFonts w:eastAsia="Times New Roman" w:cstheme="minorHAnsi"/>
          <w:lang w:eastAsia="pl-PL"/>
        </w:rPr>
        <w:t>przyrost wartości odpisu aktualizującego należności od danego kontrahenta prezentowany jest w rachunku zysków i strat w pozostałych kosztach operacyjnych lub kosztach finansowych,</w:t>
      </w:r>
    </w:p>
    <w:p w14:paraId="4E44A265" w14:textId="24B6E79A" w:rsidR="004E20DD" w:rsidRPr="00D15279" w:rsidRDefault="004E20DD" w:rsidP="00E45121">
      <w:pPr>
        <w:numPr>
          <w:ilvl w:val="0"/>
          <w:numId w:val="7"/>
        </w:numPr>
        <w:spacing w:after="240" w:line="300" w:lineRule="auto"/>
        <w:ind w:left="2268" w:hanging="567"/>
        <w:rPr>
          <w:rFonts w:eastAsia="Times New Roman" w:cstheme="minorHAnsi"/>
          <w:lang w:eastAsia="pl-PL"/>
        </w:rPr>
      </w:pPr>
      <w:r w:rsidRPr="00D15279">
        <w:rPr>
          <w:rFonts w:eastAsia="Times New Roman" w:cstheme="minorHAnsi"/>
          <w:lang w:eastAsia="pl-PL"/>
        </w:rPr>
        <w:t>brak zmiany wartości odpisu aktualizującego należności od danego kontrahenta skutkuje brakiem wpływu na rachunek zysków i strat,</w:t>
      </w:r>
    </w:p>
    <w:p w14:paraId="3A16D170" w14:textId="17DFC0F6" w:rsidR="004E20DD" w:rsidRPr="00D15279" w:rsidRDefault="004E20DD" w:rsidP="00E45121">
      <w:pPr>
        <w:numPr>
          <w:ilvl w:val="0"/>
          <w:numId w:val="7"/>
        </w:numPr>
        <w:spacing w:after="240" w:line="300" w:lineRule="auto"/>
        <w:ind w:left="2268" w:hanging="567"/>
        <w:rPr>
          <w:rFonts w:eastAsia="Times New Roman" w:cstheme="minorHAnsi"/>
          <w:lang w:eastAsia="pl-PL"/>
        </w:rPr>
      </w:pPr>
      <w:r w:rsidRPr="00D15279">
        <w:rPr>
          <w:rFonts w:eastAsia="Times New Roman" w:cstheme="minorHAnsi"/>
          <w:lang w:eastAsia="pl-PL"/>
        </w:rPr>
        <w:t>zmniejszenie wartości odpisu aktualizującego należności od danego kontrahenta prezentowane jest w rachunku zysków i strat w pozostałych przychodach operacyjnych lub przychodach finansowych.</w:t>
      </w:r>
    </w:p>
    <w:p w14:paraId="186D79E0" w14:textId="77777777" w:rsidR="004E20DD" w:rsidRPr="00D15279" w:rsidRDefault="004E20DD" w:rsidP="00E45121">
      <w:pPr>
        <w:numPr>
          <w:ilvl w:val="0"/>
          <w:numId w:val="11"/>
        </w:numPr>
        <w:spacing w:after="240" w:line="300" w:lineRule="auto"/>
        <w:ind w:left="1701" w:hanging="567"/>
        <w:rPr>
          <w:rFonts w:eastAsia="Times New Roman" w:cstheme="minorHAnsi"/>
          <w:lang w:eastAsia="pl-PL"/>
        </w:rPr>
      </w:pPr>
      <w:r w:rsidRPr="00D15279">
        <w:rPr>
          <w:rFonts w:eastAsia="Times New Roman" w:cstheme="minorHAnsi"/>
          <w:lang w:eastAsia="pl-PL"/>
        </w:rPr>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odpisu ogólnego w wysokości skalkulowanej na 31 grudnia roku, za który sporządzane jest sprawozdanie finansowe w pozostałe koszty operacyjne lub koszty finansowe.</w:t>
      </w:r>
      <w:r w:rsidRPr="00D15279">
        <w:rPr>
          <w:rFonts w:eastAsia="Times New Roman" w:cstheme="minorHAnsi"/>
          <w:lang w:eastAsia="pl-PL"/>
        </w:rPr>
        <w:br/>
        <w:t>Dokonując prezentacji w rachunku zysków i strat prezentuje się różnicę pomiędzy ogólną wartością na dzień ustalenia nowej aktualizacji a wartością uprzednio zaksięgowanego odpisu aktualizującego należności tj.:</w:t>
      </w:r>
    </w:p>
    <w:p w14:paraId="3AE94517" w14:textId="77777777" w:rsidR="004E20DD" w:rsidRPr="00D15279" w:rsidRDefault="004E20DD" w:rsidP="00E45121">
      <w:pPr>
        <w:numPr>
          <w:ilvl w:val="0"/>
          <w:numId w:val="8"/>
        </w:numPr>
        <w:spacing w:after="240" w:line="300" w:lineRule="auto"/>
        <w:ind w:left="2268" w:hanging="567"/>
        <w:rPr>
          <w:rFonts w:eastAsia="Times New Roman" w:cstheme="minorHAnsi"/>
          <w:lang w:eastAsia="pl-PL"/>
        </w:rPr>
      </w:pPr>
      <w:r w:rsidRPr="00D15279">
        <w:rPr>
          <w:rFonts w:eastAsia="Times New Roman" w:cstheme="minorHAnsi"/>
          <w:lang w:eastAsia="pl-PL"/>
        </w:rPr>
        <w:t>przyrost odpisu aktualizującego należności prezentowany jest w rachunku zysków i strat w pozostałych kosztach operacyjnych lub kosztach finansowych;</w:t>
      </w:r>
    </w:p>
    <w:p w14:paraId="220C5E78" w14:textId="77777777" w:rsidR="004E20DD" w:rsidRPr="00D15279" w:rsidRDefault="004E20DD" w:rsidP="00E45121">
      <w:pPr>
        <w:numPr>
          <w:ilvl w:val="0"/>
          <w:numId w:val="8"/>
        </w:numPr>
        <w:spacing w:after="240" w:line="300" w:lineRule="auto"/>
        <w:ind w:left="2268" w:hanging="567"/>
        <w:rPr>
          <w:rFonts w:eastAsia="Times New Roman" w:cstheme="minorHAnsi"/>
          <w:lang w:eastAsia="pl-PL"/>
        </w:rPr>
      </w:pPr>
      <w:r w:rsidRPr="00D15279">
        <w:rPr>
          <w:rFonts w:eastAsia="Times New Roman" w:cstheme="minorHAnsi"/>
          <w:lang w:eastAsia="pl-PL"/>
        </w:rPr>
        <w:t>zmniejszenie odpisu aktualizującego należności prezentowane jest w rachunku zysków i strat w pozostałych przychodach operacyjnych lub przychodach finansowych.</w:t>
      </w:r>
    </w:p>
    <w:p w14:paraId="6D130F6A" w14:textId="7DFA51D0" w:rsidR="00917E6F" w:rsidRPr="00D15279" w:rsidRDefault="004E20DD" w:rsidP="00E45121">
      <w:pPr>
        <w:pStyle w:val="Akapitzlist"/>
        <w:numPr>
          <w:ilvl w:val="0"/>
          <w:numId w:val="15"/>
        </w:numPr>
        <w:spacing w:after="240" w:line="300" w:lineRule="auto"/>
        <w:rPr>
          <w:rFonts w:eastAsia="Times New Roman" w:cstheme="minorHAnsi"/>
          <w:lang w:eastAsia="pl-PL"/>
        </w:rPr>
      </w:pPr>
      <w:r w:rsidRPr="00D15279">
        <w:rPr>
          <w:rFonts w:eastAsia="Times New Roman" w:cstheme="minorHAnsi"/>
          <w:lang w:eastAsia="pl-PL"/>
        </w:rPr>
        <w:t xml:space="preserve">Należności </w:t>
      </w:r>
      <w:r w:rsidRPr="00D15279">
        <w:rPr>
          <w:rFonts w:cstheme="minorHAnsi"/>
        </w:rPr>
        <w:t>przedawnione</w:t>
      </w:r>
      <w:r w:rsidRPr="00D15279">
        <w:rPr>
          <w:rFonts w:eastAsia="Times New Roman" w:cstheme="minorHAnsi"/>
          <w:lang w:eastAsia="pl-PL"/>
        </w:rPr>
        <w:t>, umorzone zmniejszają wartość dokonanych uprzednio odpisów aktualizujących.</w:t>
      </w:r>
      <w:r w:rsidRPr="00D15279">
        <w:rPr>
          <w:rFonts w:eastAsia="Times New Roman" w:cstheme="minorHAnsi"/>
          <w:lang w:eastAsia="pl-PL"/>
        </w:rPr>
        <w:br/>
        <w:t>Należności przedawnione, umorzone, od których nie dokonano odpisów aktualizujących ich wartość lub dokonano ich w niepełnej wysokości, zalicza się odpowiednio do pozostałych kosztów operacyjnych lub kosztów finansowych.</w:t>
      </w:r>
    </w:p>
    <w:p w14:paraId="533F4EE0" w14:textId="77777777" w:rsidR="00917E6F" w:rsidRPr="00D15279" w:rsidRDefault="004E20DD" w:rsidP="00E45121">
      <w:pPr>
        <w:pStyle w:val="Akapitzlist"/>
        <w:numPr>
          <w:ilvl w:val="0"/>
          <w:numId w:val="15"/>
        </w:numPr>
        <w:spacing w:after="240" w:line="300" w:lineRule="auto"/>
        <w:rPr>
          <w:rFonts w:eastAsia="Times New Roman" w:cstheme="minorHAnsi"/>
          <w:lang w:eastAsia="pl-PL"/>
        </w:rPr>
      </w:pPr>
      <w:r w:rsidRPr="00D15279">
        <w:rPr>
          <w:rFonts w:eastAsia="Times New Roman" w:cstheme="minorHAnsi"/>
          <w:lang w:eastAsia="pl-PL"/>
        </w:rPr>
        <w:t>Odpisane, przedawnione i umorzone zobowiązania wycenia się w kwocie wymagającej zapłaty i odnosi w pozostałe przychody operacyjne.</w:t>
      </w:r>
    </w:p>
    <w:p w14:paraId="0B413715" w14:textId="77777777" w:rsidR="00917E6F" w:rsidRPr="00D15279" w:rsidRDefault="004E20DD" w:rsidP="00E45121">
      <w:pPr>
        <w:pStyle w:val="Akapitzlist"/>
        <w:numPr>
          <w:ilvl w:val="0"/>
          <w:numId w:val="15"/>
        </w:numPr>
        <w:spacing w:after="240" w:line="300" w:lineRule="auto"/>
        <w:rPr>
          <w:rFonts w:eastAsia="Times New Roman" w:cstheme="minorHAnsi"/>
          <w:lang w:eastAsia="pl-PL"/>
        </w:rPr>
      </w:pPr>
      <w:r w:rsidRPr="00D15279">
        <w:rPr>
          <w:rFonts w:cstheme="minorHAnsi"/>
        </w:rPr>
        <w:t>Otrzymane</w:t>
      </w:r>
      <w:r w:rsidRPr="00D15279">
        <w:rPr>
          <w:rFonts w:eastAsia="Times New Roman" w:cstheme="minorHAnsi"/>
          <w:lang w:eastAsia="pl-PL"/>
        </w:rPr>
        <w:t xml:space="preserve"> darowizny w postaci rzeczowych składników aktywów obrotowych wycenia się w kwocie nie wyższej od ich cen rynkowych w momencie otrzymania.</w:t>
      </w:r>
    </w:p>
    <w:p w14:paraId="58D4FE84" w14:textId="77777777" w:rsidR="00917E6F" w:rsidRPr="00D15279" w:rsidRDefault="004E20DD" w:rsidP="00E45121">
      <w:pPr>
        <w:pStyle w:val="Akapitzlist"/>
        <w:numPr>
          <w:ilvl w:val="0"/>
          <w:numId w:val="15"/>
        </w:numPr>
        <w:spacing w:after="240" w:line="300" w:lineRule="auto"/>
        <w:rPr>
          <w:rFonts w:eastAsia="Times New Roman" w:cstheme="minorHAnsi"/>
          <w:lang w:eastAsia="pl-PL"/>
        </w:rPr>
      </w:pPr>
      <w:r w:rsidRPr="00D15279">
        <w:rPr>
          <w:rFonts w:eastAsia="Times New Roman" w:cstheme="minorHAnsi"/>
          <w:lang w:eastAsia="pl-PL"/>
        </w:rPr>
        <w:t xml:space="preserve">Należne </w:t>
      </w:r>
      <w:r w:rsidRPr="00D15279">
        <w:rPr>
          <w:rFonts w:cstheme="minorHAnsi"/>
        </w:rPr>
        <w:t>odszkodowania</w:t>
      </w:r>
      <w:r w:rsidRPr="00D15279">
        <w:rPr>
          <w:rFonts w:eastAsia="Times New Roman" w:cstheme="minorHAnsi"/>
          <w:lang w:eastAsia="pl-PL"/>
        </w:rPr>
        <w:t>, grzywny i kary wycenia się w kwocie wymagalnej zapłaty.</w:t>
      </w:r>
    </w:p>
    <w:p w14:paraId="1298B737" w14:textId="77777777" w:rsidR="00917E6F" w:rsidRPr="00D15279" w:rsidRDefault="004E20DD" w:rsidP="00E45121">
      <w:pPr>
        <w:pStyle w:val="Akapitzlist"/>
        <w:numPr>
          <w:ilvl w:val="0"/>
          <w:numId w:val="15"/>
        </w:numPr>
        <w:spacing w:after="240" w:line="300" w:lineRule="auto"/>
        <w:rPr>
          <w:rFonts w:eastAsia="Times New Roman" w:cstheme="minorHAnsi"/>
          <w:lang w:eastAsia="pl-PL"/>
        </w:rPr>
      </w:pPr>
      <w:r w:rsidRPr="00D15279">
        <w:rPr>
          <w:rFonts w:eastAsia="Times New Roman" w:cstheme="minorHAnsi"/>
          <w:lang w:eastAsia="pl-PL"/>
        </w:rPr>
        <w:t xml:space="preserve">Nadwyżki/niedobory inwentaryzacyjne składników majątkowych należy powiązać </w:t>
      </w:r>
      <w:r w:rsidRPr="00D15279">
        <w:rPr>
          <w:rFonts w:eastAsia="Times New Roman" w:cstheme="minorHAnsi"/>
          <w:lang w:eastAsia="pl-PL"/>
        </w:rPr>
        <w:br/>
        <w:t xml:space="preserve">z zapisami ksiąg rachunkowych, a ustalone różnice między stanem wykazanym </w:t>
      </w:r>
      <w:r w:rsidRPr="00D15279">
        <w:rPr>
          <w:rFonts w:eastAsia="Times New Roman" w:cstheme="minorHAnsi"/>
          <w:lang w:eastAsia="pl-PL"/>
        </w:rPr>
        <w:br/>
        <w:t xml:space="preserve">w </w:t>
      </w:r>
      <w:r w:rsidRPr="00D15279">
        <w:rPr>
          <w:rFonts w:cstheme="minorHAnsi"/>
        </w:rPr>
        <w:t>księgach</w:t>
      </w:r>
      <w:r w:rsidRPr="00D15279">
        <w:rPr>
          <w:rFonts w:eastAsia="Times New Roman" w:cstheme="minorHAnsi"/>
          <w:lang w:eastAsia="pl-PL"/>
        </w:rPr>
        <w:t xml:space="preserve"> rachunkowych, a ich stanem rzeczowym należy rozliczyć w księgach tego roku obrotowego, na który przypadł termin inwentaryzacji - zgodnie z zasadami wyceny dla danej grupy pozycji finansowych oraz ująć je w pozostałych przychodach/kosztach operacyjnych lub obciążyć osobę materialnie odpowiedzialną, zgodnie z wnioskiem przewodniczącego komisji inwentaryzacyjnej i decyzją Prezydenta.</w:t>
      </w:r>
    </w:p>
    <w:p w14:paraId="0E56D63A" w14:textId="77777777" w:rsidR="00917E6F" w:rsidRPr="00D15279" w:rsidRDefault="004E20DD" w:rsidP="00E45121">
      <w:pPr>
        <w:pStyle w:val="Akapitzlist"/>
        <w:numPr>
          <w:ilvl w:val="0"/>
          <w:numId w:val="15"/>
        </w:numPr>
        <w:spacing w:after="240" w:line="300" w:lineRule="auto"/>
        <w:rPr>
          <w:rFonts w:eastAsia="Times New Roman" w:cstheme="minorHAnsi"/>
          <w:lang w:eastAsia="pl-PL"/>
        </w:rPr>
      </w:pPr>
      <w:r w:rsidRPr="00D15279">
        <w:rPr>
          <w:rFonts w:cstheme="minorHAnsi"/>
        </w:rPr>
        <w:t>Rzeczowe</w:t>
      </w:r>
      <w:r w:rsidRPr="00D15279">
        <w:rPr>
          <w:rFonts w:eastAsia="Times New Roman" w:cstheme="minorHAnsi"/>
          <w:lang w:eastAsia="pl-PL"/>
        </w:rPr>
        <w:t xml:space="preserve"> składniki majątku obrotowego wycenia się na dzień bilansowy według ich wartości wynikającej z ewidencji.</w:t>
      </w:r>
    </w:p>
    <w:p w14:paraId="2FD08B34" w14:textId="77777777" w:rsidR="00917E6F" w:rsidRPr="00D15279" w:rsidRDefault="004E20DD" w:rsidP="00E45121">
      <w:pPr>
        <w:pStyle w:val="Akapitzlist"/>
        <w:numPr>
          <w:ilvl w:val="0"/>
          <w:numId w:val="15"/>
        </w:numPr>
        <w:spacing w:after="240" w:line="300" w:lineRule="auto"/>
        <w:rPr>
          <w:rFonts w:eastAsia="Times New Roman" w:cstheme="minorHAnsi"/>
          <w:lang w:eastAsia="pl-PL"/>
        </w:rPr>
      </w:pPr>
      <w:r w:rsidRPr="00D15279">
        <w:rPr>
          <w:rFonts w:eastAsia="Times New Roman" w:cstheme="minorHAnsi"/>
          <w:lang w:eastAsia="pl-PL"/>
        </w:rPr>
        <w:t xml:space="preserve">Czeki i weksle obce jako ekwiwalent środków pieniężnych o okresie ich wymagalności do 12 </w:t>
      </w:r>
      <w:r w:rsidRPr="00D15279">
        <w:rPr>
          <w:rFonts w:cstheme="minorHAnsi"/>
        </w:rPr>
        <w:t>miesięcy</w:t>
      </w:r>
      <w:r w:rsidRPr="00D15279">
        <w:rPr>
          <w:rFonts w:eastAsia="Times New Roman" w:cstheme="minorHAnsi"/>
          <w:lang w:eastAsia="pl-PL"/>
        </w:rPr>
        <w:t xml:space="preserve"> ewidencjonuje się jako inne środki pieniężne i wycenia w wartości nominalnej.</w:t>
      </w:r>
    </w:p>
    <w:p w14:paraId="65BCCF69" w14:textId="77777777" w:rsidR="00917E6F" w:rsidRPr="00D15279" w:rsidRDefault="004E20DD" w:rsidP="00E45121">
      <w:pPr>
        <w:pStyle w:val="Akapitzlist"/>
        <w:numPr>
          <w:ilvl w:val="0"/>
          <w:numId w:val="15"/>
        </w:numPr>
        <w:spacing w:after="240" w:line="300" w:lineRule="auto"/>
        <w:rPr>
          <w:rFonts w:eastAsia="Times New Roman" w:cstheme="minorHAnsi"/>
          <w:lang w:eastAsia="pl-PL"/>
        </w:rPr>
      </w:pPr>
      <w:r w:rsidRPr="00D15279">
        <w:rPr>
          <w:rFonts w:eastAsia="Times New Roman" w:cstheme="minorHAnsi"/>
          <w:lang w:eastAsia="pl-PL"/>
        </w:rPr>
        <w:t>Rozliczenia międzyokresowe przychodów dokonywane z zachowaniem zasady ostrożności obejmują w szczególności równowartość otrzymanych od kontrahentów środków z tytułu świadczeń, których wykonanie nastąpi w następnych okresach sprawozdawczych.</w:t>
      </w:r>
    </w:p>
    <w:p w14:paraId="2C785B36" w14:textId="77777777" w:rsidR="00917E6F" w:rsidRPr="00D15279" w:rsidRDefault="004E20DD" w:rsidP="00E45121">
      <w:pPr>
        <w:pStyle w:val="Akapitzlist"/>
        <w:numPr>
          <w:ilvl w:val="0"/>
          <w:numId w:val="15"/>
        </w:numPr>
        <w:spacing w:after="240" w:line="300" w:lineRule="auto"/>
        <w:rPr>
          <w:rFonts w:eastAsia="Times New Roman" w:cstheme="minorHAnsi"/>
          <w:lang w:eastAsia="pl-PL"/>
        </w:rPr>
      </w:pPr>
      <w:r w:rsidRPr="00D15279">
        <w:rPr>
          <w:rFonts w:eastAsia="Times New Roman" w:cstheme="minorHAnsi"/>
          <w:lang w:eastAsia="pl-PL"/>
        </w:rPr>
        <w:t>Fundusze własne i specjalne, rozliczenia międzyokresowe kosztów oraz pozostałe nie wymienione wyżej aktywa i pasywa wycenia się w wartości nominalnej.</w:t>
      </w:r>
    </w:p>
    <w:p w14:paraId="25B94303" w14:textId="77777777" w:rsidR="00917E6F" w:rsidRPr="00D15279" w:rsidRDefault="004E20DD" w:rsidP="00E45121">
      <w:pPr>
        <w:pStyle w:val="Akapitzlist"/>
        <w:numPr>
          <w:ilvl w:val="0"/>
          <w:numId w:val="15"/>
        </w:numPr>
        <w:spacing w:after="240" w:line="300" w:lineRule="auto"/>
        <w:rPr>
          <w:rFonts w:eastAsia="Times New Roman" w:cstheme="minorHAnsi"/>
          <w:lang w:eastAsia="pl-PL"/>
        </w:rPr>
      </w:pPr>
      <w:r w:rsidRPr="00D15279">
        <w:rPr>
          <w:rFonts w:eastAsia="Times New Roman" w:cstheme="minorHAnsi"/>
          <w:lang w:eastAsia="pl-PL"/>
        </w:rPr>
        <w:t>Wartości poszczególnych składników aktywów i pasywów, przychodów i kosztów ustala się oddzielnie i nie można ich ze sobą kompensować.</w:t>
      </w:r>
    </w:p>
    <w:p w14:paraId="12F5E7A6" w14:textId="418EFE29" w:rsidR="00922E5C" w:rsidRPr="00D15279" w:rsidRDefault="004E20DD" w:rsidP="00E45121">
      <w:pPr>
        <w:pStyle w:val="Akapitzlist"/>
        <w:numPr>
          <w:ilvl w:val="0"/>
          <w:numId w:val="15"/>
        </w:numPr>
        <w:spacing w:after="240" w:line="300" w:lineRule="auto"/>
        <w:rPr>
          <w:rFonts w:eastAsia="Times New Roman" w:cstheme="minorHAnsi"/>
          <w:lang w:eastAsia="pl-PL"/>
        </w:rPr>
      </w:pPr>
      <w:r w:rsidRPr="00D15279">
        <w:rPr>
          <w:rFonts w:eastAsia="Times New Roman" w:cstheme="minorHAnsi"/>
          <w:lang w:eastAsia="pl-PL"/>
        </w:rPr>
        <w:t>W przypadku, gdy na dzień bilansowy w księgach występują należności i zobowiązania od tego i wobec tego samego kontrahenta, wartości te w bilansie wykazuje się rozłącznie (w szyku rozwartym). Wartości te można jednakże ze sobą skompensować i wykazać w bilansie w kwocie netto (tj. w wartości bezwzględnej różnicy pomiędzy należnościami i zobowiązaniami) wtedy i tylko wtedy gdy podmiot:</w:t>
      </w:r>
    </w:p>
    <w:p w14:paraId="601FD8E2" w14:textId="77777777" w:rsidR="00922E5C" w:rsidRPr="00D15279" w:rsidRDefault="004E20DD" w:rsidP="00E45121">
      <w:pPr>
        <w:numPr>
          <w:ilvl w:val="0"/>
          <w:numId w:val="12"/>
        </w:numPr>
        <w:spacing w:after="240" w:line="300" w:lineRule="auto"/>
        <w:ind w:left="1701" w:hanging="567"/>
        <w:rPr>
          <w:rFonts w:eastAsia="Times New Roman" w:cstheme="minorHAnsi"/>
          <w:lang w:eastAsia="pl-PL"/>
        </w:rPr>
      </w:pPr>
      <w:r w:rsidRPr="00D15279">
        <w:rPr>
          <w:rFonts w:eastAsia="Times New Roman" w:cstheme="minorHAnsi"/>
          <w:lang w:eastAsia="pl-PL"/>
        </w:rPr>
        <w:t>posiada ważny tytuł prawny do dokonania kompensaty ujętych kwot (np. na możliwość taką wskazuje treść umowy); oraz</w:t>
      </w:r>
    </w:p>
    <w:p w14:paraId="0ECBFA76" w14:textId="2F0D2063" w:rsidR="004E20DD" w:rsidRPr="00D15279" w:rsidRDefault="004E20DD" w:rsidP="00E45121">
      <w:pPr>
        <w:numPr>
          <w:ilvl w:val="0"/>
          <w:numId w:val="12"/>
        </w:numPr>
        <w:spacing w:after="240" w:line="300" w:lineRule="auto"/>
        <w:ind w:left="1701" w:hanging="567"/>
        <w:rPr>
          <w:rFonts w:eastAsia="Times New Roman" w:cstheme="minorHAnsi"/>
          <w:lang w:eastAsia="pl-PL"/>
        </w:rPr>
      </w:pPr>
      <w:r w:rsidRPr="00D15279">
        <w:rPr>
          <w:rFonts w:eastAsia="Times New Roman" w:cstheme="minorHAnsi"/>
          <w:lang w:eastAsia="pl-PL"/>
        </w:rPr>
        <w:t>zamierza rozliczyć się w kwocie netto albo jednocześnie rozliczyć należność i wykonać zobowiązanie.</w:t>
      </w:r>
      <w:r w:rsidRPr="00D15279">
        <w:rPr>
          <w:rFonts w:eastAsia="Times New Roman" w:cstheme="minorHAnsi"/>
          <w:lang w:eastAsia="pl-PL"/>
        </w:rPr>
        <w:br/>
        <w:t>Tytuł prawny do dokonania kompensaty występuje wówczas, gdy przedmiotem obu wierzytelności są pieniądze lub rzeczy tej samej jakości oznaczone tylko co do gatunku, a obie wierzytelności są wymagalne i mogą być dochodzone przed sądem lub przed innym organem państwowym. Wskutek potrącenia obie wierzytelności umarzają się nawzajem do wysokości wierzytelności niższej.</w:t>
      </w:r>
    </w:p>
    <w:p w14:paraId="425438B0" w14:textId="5C5B3992" w:rsidR="004E20DD" w:rsidRPr="00D15279" w:rsidRDefault="004E20DD" w:rsidP="00E45121">
      <w:pPr>
        <w:pStyle w:val="Akapitzlist"/>
        <w:numPr>
          <w:ilvl w:val="0"/>
          <w:numId w:val="15"/>
        </w:numPr>
        <w:spacing w:after="240" w:line="300" w:lineRule="auto"/>
        <w:rPr>
          <w:rFonts w:eastAsia="Times New Roman" w:cstheme="minorHAnsi"/>
          <w:lang w:eastAsia="pl-PL"/>
        </w:rPr>
      </w:pPr>
      <w:r w:rsidRPr="00D15279">
        <w:rPr>
          <w:rFonts w:eastAsia="Times New Roman" w:cstheme="minorHAnsi"/>
          <w:lang w:eastAsia="pl-PL"/>
        </w:rPr>
        <w:t>Ustalenie wyniku finansowego jednostki następuje poprzez przeksięgowanie w końcu roku obrotowego:</w:t>
      </w:r>
    </w:p>
    <w:p w14:paraId="340F9E24" w14:textId="77777777" w:rsidR="004E20DD" w:rsidRPr="00D15279" w:rsidRDefault="004E20DD" w:rsidP="00E45121">
      <w:pPr>
        <w:numPr>
          <w:ilvl w:val="0"/>
          <w:numId w:val="9"/>
        </w:numPr>
        <w:tabs>
          <w:tab w:val="clear" w:pos="794"/>
        </w:tabs>
        <w:spacing w:after="240" w:line="300" w:lineRule="auto"/>
        <w:ind w:left="1701" w:hanging="567"/>
        <w:rPr>
          <w:rFonts w:eastAsia="Times New Roman" w:cstheme="minorHAnsi"/>
          <w:lang w:eastAsia="pl-PL"/>
        </w:rPr>
      </w:pPr>
      <w:r w:rsidRPr="00D15279">
        <w:rPr>
          <w:rFonts w:eastAsia="Times New Roman" w:cstheme="minorHAnsi"/>
          <w:lang w:eastAsia="pl-PL"/>
        </w:rPr>
        <w:t xml:space="preserve">na stronie </w:t>
      </w:r>
      <w:proofErr w:type="spellStart"/>
      <w:r w:rsidRPr="00D15279">
        <w:rPr>
          <w:rFonts w:eastAsia="Times New Roman" w:cstheme="minorHAnsi"/>
          <w:lang w:eastAsia="pl-PL"/>
        </w:rPr>
        <w:t>Wn</w:t>
      </w:r>
      <w:proofErr w:type="spellEnd"/>
      <w:r w:rsidRPr="00D15279">
        <w:rPr>
          <w:rFonts w:eastAsia="Times New Roman" w:cstheme="minorHAnsi"/>
          <w:lang w:eastAsia="pl-PL"/>
        </w:rPr>
        <w:t xml:space="preserve"> konta 860 „Wynik finansowy”:</w:t>
      </w:r>
    </w:p>
    <w:p w14:paraId="56329BA0" w14:textId="77777777" w:rsidR="004E20DD" w:rsidRPr="00D15279" w:rsidRDefault="004E20DD" w:rsidP="00E45121">
      <w:pPr>
        <w:numPr>
          <w:ilvl w:val="0"/>
          <w:numId w:val="10"/>
        </w:numPr>
        <w:spacing w:after="240" w:line="300" w:lineRule="auto"/>
        <w:ind w:left="2268" w:hanging="567"/>
        <w:rPr>
          <w:rFonts w:eastAsia="Times New Roman" w:cstheme="minorHAnsi"/>
          <w:lang w:eastAsia="pl-PL"/>
        </w:rPr>
      </w:pPr>
      <w:r w:rsidRPr="00D15279">
        <w:rPr>
          <w:rFonts w:eastAsia="Times New Roman" w:cstheme="minorHAnsi"/>
          <w:lang w:eastAsia="pl-PL"/>
        </w:rPr>
        <w:t>sumy poniesionych kosztów operacyjnych w korespondencji z kontami zespołu 4 „Koszty według rodzajów i ich rozliczenie”,</w:t>
      </w:r>
    </w:p>
    <w:p w14:paraId="6E892D14" w14:textId="41DB06B7" w:rsidR="004E20DD" w:rsidRPr="00D15279" w:rsidRDefault="004E20DD" w:rsidP="00E45121">
      <w:pPr>
        <w:numPr>
          <w:ilvl w:val="0"/>
          <w:numId w:val="10"/>
        </w:numPr>
        <w:tabs>
          <w:tab w:val="num" w:pos="1260"/>
        </w:tabs>
        <w:spacing w:after="240" w:line="300" w:lineRule="auto"/>
        <w:ind w:left="2268" w:hanging="567"/>
        <w:rPr>
          <w:rFonts w:eastAsia="Times New Roman" w:cstheme="minorHAnsi"/>
          <w:lang w:eastAsia="pl-PL"/>
        </w:rPr>
      </w:pPr>
      <w:r w:rsidRPr="00D15279">
        <w:rPr>
          <w:rFonts w:eastAsia="Times New Roman" w:cstheme="minorHAnsi"/>
          <w:lang w:eastAsia="pl-PL"/>
        </w:rPr>
        <w:t>zmianę stanu międzyokresowych rozliczeń kosztów w korespondencji z</w:t>
      </w:r>
      <w:r w:rsidR="00E45121">
        <w:rPr>
          <w:rFonts w:eastAsia="Times New Roman" w:cstheme="minorHAnsi"/>
          <w:lang w:eastAsia="pl-PL"/>
        </w:rPr>
        <w:t xml:space="preserve"> </w:t>
      </w:r>
      <w:r w:rsidRPr="00D15279">
        <w:rPr>
          <w:rFonts w:eastAsia="Times New Roman" w:cstheme="minorHAnsi"/>
          <w:lang w:eastAsia="pl-PL"/>
        </w:rPr>
        <w:t>kontem 490 „Rozliczenie kosztów”,</w:t>
      </w:r>
    </w:p>
    <w:p w14:paraId="1F933DF2" w14:textId="77777777" w:rsidR="004E20DD" w:rsidRPr="00D15279" w:rsidRDefault="004E20DD" w:rsidP="00E45121">
      <w:pPr>
        <w:numPr>
          <w:ilvl w:val="0"/>
          <w:numId w:val="10"/>
        </w:numPr>
        <w:spacing w:after="240" w:line="300" w:lineRule="auto"/>
        <w:ind w:left="2268" w:hanging="567"/>
        <w:rPr>
          <w:rFonts w:eastAsia="Times New Roman" w:cstheme="minorHAnsi"/>
          <w:lang w:eastAsia="pl-PL"/>
        </w:rPr>
      </w:pPr>
      <w:r w:rsidRPr="00D15279">
        <w:rPr>
          <w:rFonts w:eastAsia="Times New Roman" w:cstheme="minorHAnsi"/>
          <w:lang w:eastAsia="pl-PL"/>
        </w:rPr>
        <w:t>sumy poniesionych kosztów w korespondencji z poszczególnymi kontami zespołu 7.</w:t>
      </w:r>
    </w:p>
    <w:p w14:paraId="6EBC331F" w14:textId="77777777" w:rsidR="004E20DD" w:rsidRPr="00D15279" w:rsidRDefault="004E20DD" w:rsidP="00E45121">
      <w:pPr>
        <w:numPr>
          <w:ilvl w:val="0"/>
          <w:numId w:val="9"/>
        </w:numPr>
        <w:tabs>
          <w:tab w:val="clear" w:pos="794"/>
        </w:tabs>
        <w:spacing w:after="240" w:line="300" w:lineRule="auto"/>
        <w:ind w:left="1701" w:hanging="567"/>
        <w:rPr>
          <w:rFonts w:eastAsia="Times New Roman" w:cstheme="minorHAnsi"/>
          <w:lang w:eastAsia="pl-PL"/>
        </w:rPr>
      </w:pPr>
      <w:r w:rsidRPr="00D15279">
        <w:rPr>
          <w:rFonts w:eastAsia="Times New Roman" w:cstheme="minorHAnsi"/>
          <w:lang w:eastAsia="pl-PL"/>
        </w:rPr>
        <w:t>na stronie Ma konta 860 „Wynik finansowy”:</w:t>
      </w:r>
    </w:p>
    <w:p w14:paraId="45020DAB" w14:textId="77777777" w:rsidR="004E20DD" w:rsidRPr="00D15279" w:rsidRDefault="004E20DD" w:rsidP="00E45121">
      <w:pPr>
        <w:numPr>
          <w:ilvl w:val="1"/>
          <w:numId w:val="10"/>
        </w:numPr>
        <w:spacing w:after="240" w:line="300" w:lineRule="auto"/>
        <w:ind w:left="2268" w:hanging="567"/>
        <w:rPr>
          <w:rFonts w:eastAsia="Times New Roman" w:cstheme="minorHAnsi"/>
          <w:lang w:eastAsia="pl-PL"/>
        </w:rPr>
      </w:pPr>
      <w:r w:rsidRPr="00D15279">
        <w:rPr>
          <w:rFonts w:eastAsia="Times New Roman" w:cstheme="minorHAnsi"/>
          <w:lang w:eastAsia="pl-PL"/>
        </w:rPr>
        <w:t>sumy uzyskanych przychodów w korespondencji z poszczególnymi kontami zespołu 7,</w:t>
      </w:r>
    </w:p>
    <w:p w14:paraId="7AD3380D" w14:textId="77777777" w:rsidR="004E20DD" w:rsidRPr="00D15279" w:rsidRDefault="004E20DD" w:rsidP="00E45121">
      <w:pPr>
        <w:numPr>
          <w:ilvl w:val="1"/>
          <w:numId w:val="10"/>
        </w:numPr>
        <w:tabs>
          <w:tab w:val="num" w:pos="1260"/>
        </w:tabs>
        <w:spacing w:after="240" w:line="300" w:lineRule="auto"/>
        <w:ind w:left="2268" w:hanging="567"/>
        <w:rPr>
          <w:rFonts w:eastAsia="Times New Roman" w:cstheme="minorHAnsi"/>
          <w:lang w:eastAsia="pl-PL"/>
        </w:rPr>
      </w:pPr>
      <w:r w:rsidRPr="00D15279">
        <w:rPr>
          <w:rFonts w:eastAsia="Times New Roman" w:cstheme="minorHAnsi"/>
          <w:lang w:eastAsia="pl-PL"/>
        </w:rPr>
        <w:t>zmianę stanu międzyokresowych rozliczeń kosztów w korespondencji z kontem 490 „Rozliczenie kosztów”.</w:t>
      </w:r>
    </w:p>
    <w:p w14:paraId="18A57607" w14:textId="77777777" w:rsidR="00917E6F" w:rsidRPr="00D15279" w:rsidRDefault="004E20DD" w:rsidP="00E45121">
      <w:pPr>
        <w:pStyle w:val="Akapitzlist"/>
        <w:numPr>
          <w:ilvl w:val="0"/>
          <w:numId w:val="15"/>
        </w:numPr>
        <w:spacing w:after="240" w:line="300" w:lineRule="auto"/>
        <w:rPr>
          <w:rFonts w:cstheme="minorHAnsi"/>
        </w:rPr>
      </w:pPr>
      <w:r w:rsidRPr="00D15279">
        <w:rPr>
          <w:rFonts w:cstheme="minorHAnsi"/>
        </w:rPr>
        <w:t>Urząd m.st. Warszawy nie dokonuje biernych rozliczeń międzyokresowych kosztów wynikających z obowiązku wykonania przyszłych świadczeń na rzecz pracowników, w tym świadczeń emerytalnych.</w:t>
      </w:r>
    </w:p>
    <w:p w14:paraId="24B2B504" w14:textId="77777777" w:rsidR="00917E6F" w:rsidRPr="00D15279" w:rsidRDefault="004E20DD" w:rsidP="00E45121">
      <w:pPr>
        <w:pStyle w:val="Akapitzlist"/>
        <w:numPr>
          <w:ilvl w:val="0"/>
          <w:numId w:val="15"/>
        </w:numPr>
        <w:spacing w:after="240" w:line="300" w:lineRule="auto"/>
        <w:rPr>
          <w:rFonts w:cstheme="minorHAnsi"/>
        </w:rPr>
      </w:pPr>
      <w:r w:rsidRPr="00D15279">
        <w:rPr>
          <w:rFonts w:eastAsia="Times New Roman" w:cstheme="minorHAnsi"/>
          <w:lang w:eastAsia="pl-PL"/>
        </w:rPr>
        <w:t>Rezerwy</w:t>
      </w:r>
      <w:r w:rsidRPr="00D15279">
        <w:rPr>
          <w:rFonts w:cstheme="minorHAnsi"/>
        </w:rPr>
        <w:t xml:space="preserve"> na zobowiązania wycenia się nie rzadziej niż na dzień bilansowy w uzasadnionej wiarygodnie oszacowanej wartości. Każdorazowo należy oszacować prawdopodobną kwotę zobowiązania głównego, jak również każdorazowo należy oszacować kwotę odsetek od momentu, od którego powstaje roszczenie o odsetki.</w:t>
      </w:r>
    </w:p>
    <w:p w14:paraId="20E3E14D" w14:textId="77777777" w:rsidR="00917E6F" w:rsidRPr="00D15279" w:rsidRDefault="004E20DD" w:rsidP="00E45121">
      <w:pPr>
        <w:pStyle w:val="Akapitzlist"/>
        <w:numPr>
          <w:ilvl w:val="0"/>
          <w:numId w:val="15"/>
        </w:numPr>
        <w:spacing w:after="240" w:line="300" w:lineRule="auto"/>
        <w:rPr>
          <w:rFonts w:cstheme="minorHAnsi"/>
        </w:rPr>
      </w:pPr>
      <w:r w:rsidRPr="00D15279">
        <w:rPr>
          <w:rFonts w:eastAsia="Times New Roman" w:cstheme="minorHAnsi"/>
          <w:lang w:eastAsia="pl-PL"/>
        </w:rPr>
        <w:t>Rezerwy</w:t>
      </w:r>
      <w:r w:rsidRPr="00D15279">
        <w:rPr>
          <w:rFonts w:cstheme="minorHAnsi"/>
        </w:rPr>
        <w:t xml:space="preserve"> na sprawy sądowe dotyczące </w:t>
      </w:r>
      <w:proofErr w:type="spellStart"/>
      <w:r w:rsidRPr="00D15279">
        <w:rPr>
          <w:rFonts w:cstheme="minorHAnsi"/>
        </w:rPr>
        <w:t>zasiedzeń</w:t>
      </w:r>
      <w:proofErr w:type="spellEnd"/>
      <w:r w:rsidRPr="00D15279">
        <w:rPr>
          <w:rFonts w:cstheme="minorHAnsi"/>
        </w:rPr>
        <w:t xml:space="preserve"> bądź wydania nieruchomości wycenia się wg wartości księgowej danej nieruchomości i odnosi w ciężar funduszu jednostki.</w:t>
      </w:r>
    </w:p>
    <w:p w14:paraId="709E3D3A" w14:textId="77777777" w:rsidR="00917E6F" w:rsidRPr="00D15279" w:rsidRDefault="00DE465B" w:rsidP="00E45121">
      <w:pPr>
        <w:pStyle w:val="Akapitzlist"/>
        <w:numPr>
          <w:ilvl w:val="0"/>
          <w:numId w:val="15"/>
        </w:numPr>
        <w:spacing w:after="240" w:line="300" w:lineRule="auto"/>
        <w:rPr>
          <w:rFonts w:cstheme="minorHAnsi"/>
        </w:rPr>
      </w:pPr>
      <w:r w:rsidRPr="00D15279">
        <w:rPr>
          <w:rFonts w:eastAsia="Times New Roman" w:cstheme="minorHAnsi"/>
          <w:lang w:eastAsia="pl-PL"/>
        </w:rPr>
        <w:t>Wydziały</w:t>
      </w:r>
      <w:r w:rsidR="004E20DD" w:rsidRPr="00D15279">
        <w:rPr>
          <w:rFonts w:cstheme="minorHAnsi"/>
        </w:rPr>
        <w:t xml:space="preserve"> merytoryczne nie rzadziej niż na dzień bilansowy tj. 31.12 dokonują oceny (weryfikacji) zaewidencjonowanych pozabilansowo zobowiązań war</w:t>
      </w:r>
      <w:r w:rsidR="005307D6" w:rsidRPr="00D15279">
        <w:rPr>
          <w:rFonts w:cstheme="minorHAnsi"/>
        </w:rPr>
        <w:t>unkowych w celu ich urealnienia.</w:t>
      </w:r>
    </w:p>
    <w:p w14:paraId="046D9B84" w14:textId="3B1A25D5" w:rsidR="000E7B12" w:rsidRPr="001B3F65" w:rsidRDefault="00817358" w:rsidP="001B3F65">
      <w:pPr>
        <w:pStyle w:val="Nagwek2"/>
        <w:numPr>
          <w:ilvl w:val="0"/>
          <w:numId w:val="13"/>
        </w:numPr>
        <w:rPr>
          <w:rFonts w:asciiTheme="minorHAnsi" w:hAnsiTheme="minorHAnsi" w:cstheme="minorHAnsi"/>
          <w:b/>
          <w:bCs/>
          <w:color w:val="auto"/>
          <w:sz w:val="22"/>
          <w:szCs w:val="22"/>
        </w:rPr>
      </w:pPr>
      <w:r w:rsidRPr="001B3F65">
        <w:rPr>
          <w:rFonts w:asciiTheme="minorHAnsi" w:hAnsiTheme="minorHAnsi" w:cstheme="minorHAnsi"/>
          <w:b/>
          <w:bCs/>
          <w:color w:val="auto"/>
          <w:sz w:val="22"/>
          <w:szCs w:val="22"/>
        </w:rPr>
        <w:t>Inne informacje</w:t>
      </w:r>
    </w:p>
    <w:p w14:paraId="7BF3BA2B" w14:textId="2ACC5A02" w:rsidR="000E7B12" w:rsidRDefault="00817358" w:rsidP="00E45121">
      <w:pPr>
        <w:tabs>
          <w:tab w:val="left" w:pos="3495"/>
        </w:tabs>
        <w:spacing w:after="240" w:line="300" w:lineRule="auto"/>
        <w:rPr>
          <w:rFonts w:cstheme="minorHAnsi"/>
        </w:rPr>
      </w:pPr>
      <w:r w:rsidRPr="00D15279">
        <w:rPr>
          <w:rFonts w:cstheme="minorHAnsi"/>
        </w:rPr>
        <w:t>Nie występowała korekta bilansu otwarcia 202</w:t>
      </w:r>
      <w:r w:rsidR="00E42771" w:rsidRPr="00D15279">
        <w:rPr>
          <w:rFonts w:cstheme="minorHAnsi"/>
        </w:rPr>
        <w:t>4</w:t>
      </w:r>
      <w:r w:rsidRPr="00D15279">
        <w:rPr>
          <w:rFonts w:cstheme="minorHAnsi"/>
        </w:rPr>
        <w:t xml:space="preserve"> roku.</w:t>
      </w:r>
    </w:p>
    <w:p w14:paraId="7E587919" w14:textId="77777777" w:rsidR="001B3F65" w:rsidRPr="00D15279" w:rsidRDefault="001B3F65" w:rsidP="00E45121">
      <w:pPr>
        <w:tabs>
          <w:tab w:val="left" w:pos="3495"/>
        </w:tabs>
        <w:spacing w:after="240" w:line="300" w:lineRule="auto"/>
        <w:rPr>
          <w:rFonts w:cstheme="minorHAnsi"/>
        </w:rPr>
      </w:pPr>
    </w:p>
    <w:sectPr w:rsidR="001B3F65" w:rsidRPr="00D15279" w:rsidSect="00642301">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07A43" w14:textId="77777777" w:rsidR="00616624" w:rsidRDefault="00616624" w:rsidP="009E3751">
      <w:pPr>
        <w:spacing w:after="0" w:line="240" w:lineRule="auto"/>
      </w:pPr>
      <w:r>
        <w:separator/>
      </w:r>
    </w:p>
  </w:endnote>
  <w:endnote w:type="continuationSeparator" w:id="0">
    <w:p w14:paraId="099CE9A7" w14:textId="77777777" w:rsidR="00616624" w:rsidRDefault="00616624" w:rsidP="009E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52ABC" w14:textId="77777777" w:rsidR="009E3751" w:rsidRPr="00AE7AFC" w:rsidRDefault="009E3751">
    <w:pPr>
      <w:pStyle w:val="Stopka"/>
      <w:rPr>
        <w:rFonts w:ascii="Times New Roman" w:hAnsi="Times New Roman" w:cs="Times New Roman"/>
        <w:sz w:val="20"/>
      </w:rPr>
    </w:pPr>
    <w:r w:rsidRPr="00AE7AFC">
      <w:rPr>
        <w:rFonts w:ascii="Times New Roman" w:hAnsi="Times New Roman" w:cs="Times New Roman"/>
        <w:sz w:val="20"/>
      </w:rPr>
      <w:t>Wprowadzenie oraz dodatkowe informacje i objaśnienia stanowią integralną część sprawozdania finansowego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4A30F" w14:textId="77777777" w:rsidR="00616624" w:rsidRDefault="00616624" w:rsidP="009E3751">
      <w:pPr>
        <w:spacing w:after="0" w:line="240" w:lineRule="auto"/>
      </w:pPr>
      <w:r>
        <w:separator/>
      </w:r>
    </w:p>
  </w:footnote>
  <w:footnote w:type="continuationSeparator" w:id="0">
    <w:p w14:paraId="7B35FBB6" w14:textId="77777777" w:rsidR="00616624" w:rsidRDefault="00616624" w:rsidP="009E3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CE09" w14:textId="77777777" w:rsidR="007B56A2" w:rsidRPr="007B56A2" w:rsidRDefault="007B56A2" w:rsidP="007B56A2">
    <w:pPr>
      <w:pStyle w:val="Nagwek"/>
      <w:rPr>
        <w:rFonts w:cstheme="minorHAnsi"/>
        <w:b/>
        <w:sz w:val="24"/>
        <w:szCs w:val="24"/>
      </w:rPr>
    </w:pPr>
    <w:r w:rsidRPr="007B56A2">
      <w:rPr>
        <w:rFonts w:cstheme="minorHAnsi"/>
        <w:b/>
        <w:sz w:val="24"/>
        <w:szCs w:val="24"/>
      </w:rPr>
      <w:t>Urząd Dzielnicy Żoliborz m.st. Warszawy</w:t>
    </w:r>
  </w:p>
  <w:p w14:paraId="3F3DE2D2" w14:textId="77777777" w:rsidR="007B56A2" w:rsidRPr="007B56A2" w:rsidRDefault="007B56A2" w:rsidP="007B56A2">
    <w:pPr>
      <w:pStyle w:val="Nagwek"/>
      <w:rPr>
        <w:rFonts w:cstheme="minorHAnsi"/>
        <w:b/>
        <w:sz w:val="24"/>
        <w:szCs w:val="24"/>
      </w:rPr>
    </w:pPr>
    <w:r w:rsidRPr="007B56A2">
      <w:rPr>
        <w:rFonts w:cstheme="minorHAnsi"/>
        <w:b/>
        <w:sz w:val="24"/>
        <w:szCs w:val="24"/>
      </w:rPr>
      <w:t xml:space="preserve">Informacja dodatkowa do sprawozdania finansowego za rok obrotowy zakończony </w:t>
    </w:r>
  </w:p>
  <w:p w14:paraId="44336AEE" w14:textId="52763852" w:rsidR="007B56A2" w:rsidRPr="007B56A2" w:rsidRDefault="007B56A2" w:rsidP="007B56A2">
    <w:pPr>
      <w:pStyle w:val="Nagwek"/>
      <w:rPr>
        <w:rFonts w:cstheme="minorHAnsi"/>
        <w:b/>
        <w:sz w:val="24"/>
        <w:szCs w:val="24"/>
      </w:rPr>
    </w:pPr>
    <w:r w:rsidRPr="007B56A2">
      <w:rPr>
        <w:rFonts w:cstheme="minorHAnsi"/>
        <w:b/>
        <w:sz w:val="24"/>
        <w:szCs w:val="24"/>
      </w:rPr>
      <w:t>31 grudnia 202</w:t>
    </w:r>
    <w:r w:rsidR="00E42771">
      <w:rPr>
        <w:rFonts w:cstheme="minorHAnsi"/>
        <w:b/>
        <w:sz w:val="24"/>
        <w:szCs w:val="24"/>
      </w:rPr>
      <w:t>4</w:t>
    </w:r>
    <w:r w:rsidRPr="007B56A2">
      <w:rPr>
        <w:rFonts w:cstheme="minorHAnsi"/>
        <w:b/>
        <w:sz w:val="24"/>
        <w:szCs w:val="24"/>
      </w:rPr>
      <w:t>r.</w:t>
    </w:r>
  </w:p>
  <w:p w14:paraId="4CA58077" w14:textId="21A933C2" w:rsidR="007B56A2" w:rsidRPr="007B56A2" w:rsidRDefault="007B56A2" w:rsidP="00B6436C">
    <w:pPr>
      <w:pStyle w:val="Nagwek"/>
      <w:rPr>
        <w:rFonts w:cstheme="minorHAnsi"/>
      </w:rPr>
    </w:pPr>
    <w:r w:rsidRPr="007B56A2">
      <w:rPr>
        <w:rFonts w:cstheme="minorHAnsi"/>
        <w:b/>
        <w:sz w:val="24"/>
        <w:szCs w:val="24"/>
      </w:rPr>
      <w:t>Wprowadzenie do sprawozdania finansowego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E63E0"/>
    <w:multiLevelType w:val="hybridMultilevel"/>
    <w:tmpl w:val="DDD26238"/>
    <w:lvl w:ilvl="0" w:tplc="ABEE380E">
      <w:start w:val="1"/>
      <w:numFmt w:val="decimal"/>
      <w:lvlText w:val="%1)"/>
      <w:lvlJc w:val="left"/>
      <w:pPr>
        <w:tabs>
          <w:tab w:val="num" w:pos="794"/>
        </w:tabs>
        <w:ind w:left="794" w:hanging="437"/>
      </w:pPr>
      <w:rPr>
        <w:rFonts w:hint="default"/>
      </w:rPr>
    </w:lvl>
    <w:lvl w:ilvl="1" w:tplc="1F381CEA">
      <w:start w:val="5"/>
      <w:numFmt w:val="bullet"/>
      <w:lvlText w:val="-"/>
      <w:lvlJc w:val="left"/>
      <w:pPr>
        <w:tabs>
          <w:tab w:val="num" w:pos="1363"/>
        </w:tabs>
        <w:ind w:left="1363"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9014B47"/>
    <w:multiLevelType w:val="hybridMultilevel"/>
    <w:tmpl w:val="F3B405CA"/>
    <w:lvl w:ilvl="0" w:tplc="5C7207EA">
      <w:start w:val="1"/>
      <w:numFmt w:val="low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1929A7"/>
    <w:multiLevelType w:val="hybridMultilevel"/>
    <w:tmpl w:val="AC2C996C"/>
    <w:lvl w:ilvl="0" w:tplc="B706F374">
      <w:start w:val="1"/>
      <w:numFmt w:val="lowerLetter"/>
      <w:lvlText w:val="%1)"/>
      <w:lvlJc w:val="left"/>
      <w:pPr>
        <w:ind w:left="1418" w:hanging="284"/>
      </w:pPr>
      <w:rPr>
        <w:rFonts w:asciiTheme="minorHAnsi" w:hAnsiTheme="minorHAnsi" w:cstheme="minorHAnsi" w:hint="default"/>
        <w:b w:val="0"/>
        <w:i w:val="0"/>
      </w:rPr>
    </w:lvl>
    <w:lvl w:ilvl="1" w:tplc="D1EA76B6">
      <w:start w:val="1"/>
      <w:numFmt w:val="lowerLetter"/>
      <w:lvlText w:val="%2)"/>
      <w:lvlJc w:val="left"/>
      <w:pPr>
        <w:ind w:left="1418" w:hanging="284"/>
      </w:pPr>
      <w:rPr>
        <w:rFonts w:asciiTheme="minorHAnsi" w:hAnsiTheme="minorHAnsi" w:cstheme="minorHAnsi" w:hint="default"/>
        <w:b w:val="0"/>
        <w:i w:val="0"/>
      </w:rPr>
    </w:lvl>
    <w:lvl w:ilvl="2" w:tplc="D5D880FE">
      <w:start w:val="45"/>
      <w:numFmt w:val="decimal"/>
      <w:lvlText w:val="%3"/>
      <w:lvlJc w:val="left"/>
      <w:pPr>
        <w:tabs>
          <w:tab w:val="num" w:pos="567"/>
        </w:tabs>
        <w:ind w:left="567" w:hanging="454"/>
      </w:pPr>
      <w:rPr>
        <w:rFonts w:hint="default"/>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B6619BF"/>
    <w:multiLevelType w:val="hybridMultilevel"/>
    <w:tmpl w:val="C1F43254"/>
    <w:lvl w:ilvl="0" w:tplc="8C14691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2CFA1C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418C474E"/>
    <w:multiLevelType w:val="hybridMultilevel"/>
    <w:tmpl w:val="28DE52A4"/>
    <w:lvl w:ilvl="0" w:tplc="5A2E0CD6">
      <w:start w:val="1"/>
      <w:numFmt w:val="lowerLetter"/>
      <w:lvlText w:val="%1)"/>
      <w:lvlJc w:val="left"/>
      <w:pPr>
        <w:ind w:left="1074" w:hanging="360"/>
      </w:pPr>
      <w:rPr>
        <w:rFonts w:hint="default"/>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7" w15:restartNumberingAfterBreak="0">
    <w:nsid w:val="46C66AB4"/>
    <w:multiLevelType w:val="hybridMultilevel"/>
    <w:tmpl w:val="5F6668B8"/>
    <w:lvl w:ilvl="0" w:tplc="E9E48BD4">
      <w:start w:val="1"/>
      <w:numFmt w:val="decimal"/>
      <w:lvlText w:val="%1)"/>
      <w:lvlJc w:val="left"/>
      <w:pPr>
        <w:ind w:left="1069"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4D0D40E0"/>
    <w:multiLevelType w:val="hybridMultilevel"/>
    <w:tmpl w:val="A5623E9A"/>
    <w:lvl w:ilvl="0" w:tplc="21FE675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5F3B2A1F"/>
    <w:multiLevelType w:val="hybridMultilevel"/>
    <w:tmpl w:val="6D90C26A"/>
    <w:lvl w:ilvl="0" w:tplc="5A2E0CD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 w15:restartNumberingAfterBreak="0">
    <w:nsid w:val="5F5C19B2"/>
    <w:multiLevelType w:val="hybridMultilevel"/>
    <w:tmpl w:val="F886D8C8"/>
    <w:lvl w:ilvl="0" w:tplc="E9E48BD4">
      <w:start w:val="1"/>
      <w:numFmt w:val="decimal"/>
      <w:lvlText w:val="%1)"/>
      <w:lvlJc w:val="left"/>
      <w:pPr>
        <w:ind w:left="1068" w:hanging="360"/>
      </w:pPr>
      <w:rPr>
        <w:rFonts w:hint="default"/>
        <w:strike w:val="0"/>
        <w:color w:val="auto"/>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68BB2DC0"/>
    <w:multiLevelType w:val="hybridMultilevel"/>
    <w:tmpl w:val="28B6463C"/>
    <w:lvl w:ilvl="0" w:tplc="E9E48BD4">
      <w:start w:val="1"/>
      <w:numFmt w:val="decimal"/>
      <w:lvlText w:val="%1)"/>
      <w:lvlJc w:val="left"/>
      <w:pPr>
        <w:ind w:left="1069" w:hanging="360"/>
      </w:pPr>
      <w:rPr>
        <w:rFonts w:hint="default"/>
        <w:strike w:val="0"/>
      </w:rPr>
    </w:lvl>
    <w:lvl w:ilvl="1" w:tplc="04150017">
      <w:start w:val="1"/>
      <w:numFmt w:val="lowerLetter"/>
      <w:lvlText w:val="%2)"/>
      <w:lvlJc w:val="left"/>
      <w:pPr>
        <w:ind w:left="1789" w:hanging="360"/>
      </w:pPr>
      <w:rPr>
        <w:strike w:val="0"/>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692E57FA"/>
    <w:multiLevelType w:val="hybridMultilevel"/>
    <w:tmpl w:val="AC0CF0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DC1418"/>
    <w:multiLevelType w:val="hybridMultilevel"/>
    <w:tmpl w:val="BC28D84C"/>
    <w:lvl w:ilvl="0" w:tplc="936ADC0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72185A07"/>
    <w:multiLevelType w:val="hybridMultilevel"/>
    <w:tmpl w:val="5F6668B8"/>
    <w:lvl w:ilvl="0" w:tplc="E9E48BD4">
      <w:start w:val="1"/>
      <w:numFmt w:val="decimal"/>
      <w:lvlText w:val="%1)"/>
      <w:lvlJc w:val="left"/>
      <w:pPr>
        <w:ind w:left="1069"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776F3B11"/>
    <w:multiLevelType w:val="multilevel"/>
    <w:tmpl w:val="CFE884B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BD45B9"/>
    <w:multiLevelType w:val="multilevel"/>
    <w:tmpl w:val="ABD8329C"/>
    <w:lvl w:ilvl="0">
      <w:start w:val="1"/>
      <w:numFmt w:val="decimal"/>
      <w:lvlText w:val="%1."/>
      <w:lvlJc w:val="left"/>
      <w:pPr>
        <w:tabs>
          <w:tab w:val="num" w:pos="397"/>
        </w:tabs>
        <w:ind w:left="397" w:hanging="397"/>
      </w:pPr>
      <w:rPr>
        <w:rFonts w:hint="default"/>
        <w:b w:val="0"/>
      </w:rPr>
    </w:lvl>
    <w:lvl w:ilvl="1">
      <w:start w:val="1"/>
      <w:numFmt w:val="lowerLetter"/>
      <w:lvlText w:val="%1%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num w:numId="1" w16cid:durableId="1204057783">
    <w:abstractNumId w:val="5"/>
  </w:num>
  <w:num w:numId="2" w16cid:durableId="858735745">
    <w:abstractNumId w:val="6"/>
  </w:num>
  <w:num w:numId="3" w16cid:durableId="1406149188">
    <w:abstractNumId w:val="9"/>
  </w:num>
  <w:num w:numId="4" w16cid:durableId="1312173359">
    <w:abstractNumId w:val="11"/>
  </w:num>
  <w:num w:numId="5" w16cid:durableId="1756590989">
    <w:abstractNumId w:val="8"/>
  </w:num>
  <w:num w:numId="6" w16cid:durableId="1838419498">
    <w:abstractNumId w:val="13"/>
  </w:num>
  <w:num w:numId="7" w16cid:durableId="1370840266">
    <w:abstractNumId w:val="3"/>
  </w:num>
  <w:num w:numId="8" w16cid:durableId="82804665">
    <w:abstractNumId w:val="1"/>
  </w:num>
  <w:num w:numId="9" w16cid:durableId="574121593">
    <w:abstractNumId w:val="0"/>
  </w:num>
  <w:num w:numId="10" w16cid:durableId="1469468730">
    <w:abstractNumId w:val="2"/>
  </w:num>
  <w:num w:numId="11" w16cid:durableId="322002865">
    <w:abstractNumId w:val="7"/>
  </w:num>
  <w:num w:numId="12" w16cid:durableId="1790858422">
    <w:abstractNumId w:val="14"/>
  </w:num>
  <w:num w:numId="13" w16cid:durableId="447088834">
    <w:abstractNumId w:val="16"/>
  </w:num>
  <w:num w:numId="14" w16cid:durableId="809860632">
    <w:abstractNumId w:val="4"/>
  </w:num>
  <w:num w:numId="15" w16cid:durableId="956368936">
    <w:abstractNumId w:val="15"/>
  </w:num>
  <w:num w:numId="16" w16cid:durableId="1209102162">
    <w:abstractNumId w:val="12"/>
  </w:num>
  <w:num w:numId="17" w16cid:durableId="161948396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EA"/>
    <w:rsid w:val="0001739B"/>
    <w:rsid w:val="000922DF"/>
    <w:rsid w:val="000E618D"/>
    <w:rsid w:val="000E7B12"/>
    <w:rsid w:val="001543DC"/>
    <w:rsid w:val="00160DF2"/>
    <w:rsid w:val="001B3F65"/>
    <w:rsid w:val="00231C28"/>
    <w:rsid w:val="00244B6B"/>
    <w:rsid w:val="002C339D"/>
    <w:rsid w:val="002F06AB"/>
    <w:rsid w:val="003553A1"/>
    <w:rsid w:val="00370A6B"/>
    <w:rsid w:val="003A0DEA"/>
    <w:rsid w:val="003E45C9"/>
    <w:rsid w:val="004B3C7A"/>
    <w:rsid w:val="004B48E5"/>
    <w:rsid w:val="004C0E60"/>
    <w:rsid w:val="004E20DD"/>
    <w:rsid w:val="005307D6"/>
    <w:rsid w:val="00531F01"/>
    <w:rsid w:val="005A4D0B"/>
    <w:rsid w:val="00616624"/>
    <w:rsid w:val="00642301"/>
    <w:rsid w:val="00656D30"/>
    <w:rsid w:val="006E32E5"/>
    <w:rsid w:val="00713982"/>
    <w:rsid w:val="00742DB3"/>
    <w:rsid w:val="007B56A2"/>
    <w:rsid w:val="007D2667"/>
    <w:rsid w:val="00817358"/>
    <w:rsid w:val="00841FF5"/>
    <w:rsid w:val="008C7440"/>
    <w:rsid w:val="00917E6F"/>
    <w:rsid w:val="00922E5C"/>
    <w:rsid w:val="0094712F"/>
    <w:rsid w:val="009E3751"/>
    <w:rsid w:val="009E5CA1"/>
    <w:rsid w:val="00A63E65"/>
    <w:rsid w:val="00AA2398"/>
    <w:rsid w:val="00AE7AFC"/>
    <w:rsid w:val="00B43E49"/>
    <w:rsid w:val="00B6436C"/>
    <w:rsid w:val="00BD7E16"/>
    <w:rsid w:val="00C376C6"/>
    <w:rsid w:val="00CA31CC"/>
    <w:rsid w:val="00D15279"/>
    <w:rsid w:val="00D258BA"/>
    <w:rsid w:val="00DB5B8A"/>
    <w:rsid w:val="00DD7D2F"/>
    <w:rsid w:val="00DE465B"/>
    <w:rsid w:val="00DE48E6"/>
    <w:rsid w:val="00E42771"/>
    <w:rsid w:val="00E45121"/>
    <w:rsid w:val="00EE3D4F"/>
    <w:rsid w:val="00F13A8F"/>
    <w:rsid w:val="00F36AEE"/>
    <w:rsid w:val="00F44E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58D6F0"/>
  <w15:chartTrackingRefBased/>
  <w15:docId w15:val="{C6CAB9CD-C33D-49B2-A302-69AA72E7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B5B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B5B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1543DC"/>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3C7A"/>
    <w:pPr>
      <w:ind w:left="720"/>
      <w:contextualSpacing/>
    </w:pPr>
  </w:style>
  <w:style w:type="character" w:customStyle="1" w:styleId="Nagwek3Znak">
    <w:name w:val="Nagłówek 3 Znak"/>
    <w:basedOn w:val="Domylnaczcionkaakapitu"/>
    <w:link w:val="Nagwek3"/>
    <w:rsid w:val="001543DC"/>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244B6B"/>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244B6B"/>
    <w:rPr>
      <w:rFonts w:ascii="Times New Roman" w:eastAsia="Times New Roman" w:hAnsi="Times New Roman" w:cs="Times New Roman"/>
      <w:color w:val="000000"/>
      <w:sz w:val="24"/>
      <w:szCs w:val="20"/>
      <w:lang w:val="en-AU"/>
    </w:rPr>
  </w:style>
  <w:style w:type="paragraph" w:styleId="Tekstdymka">
    <w:name w:val="Balloon Text"/>
    <w:basedOn w:val="Normalny"/>
    <w:link w:val="TekstdymkaZnak"/>
    <w:uiPriority w:val="99"/>
    <w:semiHidden/>
    <w:unhideWhenUsed/>
    <w:rsid w:val="00EE3D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3D4F"/>
    <w:rPr>
      <w:rFonts w:ascii="Segoe UI" w:hAnsi="Segoe UI" w:cs="Segoe UI"/>
      <w:sz w:val="18"/>
      <w:szCs w:val="18"/>
    </w:rPr>
  </w:style>
  <w:style w:type="paragraph" w:styleId="Nagwek">
    <w:name w:val="header"/>
    <w:basedOn w:val="Normalny"/>
    <w:link w:val="NagwekZnak"/>
    <w:uiPriority w:val="99"/>
    <w:unhideWhenUsed/>
    <w:rsid w:val="009E37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751"/>
  </w:style>
  <w:style w:type="paragraph" w:styleId="Stopka">
    <w:name w:val="footer"/>
    <w:basedOn w:val="Normalny"/>
    <w:link w:val="StopkaZnak"/>
    <w:uiPriority w:val="99"/>
    <w:unhideWhenUsed/>
    <w:rsid w:val="009E37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751"/>
  </w:style>
  <w:style w:type="character" w:customStyle="1" w:styleId="Nagwek1Znak">
    <w:name w:val="Nagłówek 1 Znak"/>
    <w:basedOn w:val="Domylnaczcionkaakapitu"/>
    <w:link w:val="Nagwek1"/>
    <w:uiPriority w:val="9"/>
    <w:rsid w:val="00DB5B8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DB5B8A"/>
    <w:rPr>
      <w:rFonts w:asciiTheme="majorHAnsi" w:eastAsiaTheme="majorEastAsia" w:hAnsiTheme="majorHAnsi" w:cstheme="majorBidi"/>
      <w:color w:val="2E74B5" w:themeColor="accent1" w:themeShade="BF"/>
      <w:sz w:val="26"/>
      <w:szCs w:val="26"/>
    </w:rPr>
  </w:style>
  <w:style w:type="paragraph" w:styleId="Bezodstpw">
    <w:name w:val="No Spacing"/>
    <w:uiPriority w:val="1"/>
    <w:qFormat/>
    <w:rsid w:val="00DB5B8A"/>
    <w:pPr>
      <w:spacing w:after="0" w:line="240" w:lineRule="auto"/>
    </w:pPr>
  </w:style>
  <w:style w:type="paragraph" w:styleId="Nagwekspisutreci">
    <w:name w:val="TOC Heading"/>
    <w:basedOn w:val="Nagwek1"/>
    <w:next w:val="Normalny"/>
    <w:uiPriority w:val="39"/>
    <w:unhideWhenUsed/>
    <w:qFormat/>
    <w:rsid w:val="001B3F65"/>
    <w:pPr>
      <w:outlineLvl w:val="9"/>
    </w:pPr>
    <w:rPr>
      <w:lang w:eastAsia="pl-PL"/>
    </w:rPr>
  </w:style>
  <w:style w:type="paragraph" w:styleId="Spistreci1">
    <w:name w:val="toc 1"/>
    <w:basedOn w:val="Normalny"/>
    <w:next w:val="Normalny"/>
    <w:autoRedefine/>
    <w:uiPriority w:val="39"/>
    <w:unhideWhenUsed/>
    <w:rsid w:val="001B3F65"/>
    <w:pPr>
      <w:spacing w:after="100"/>
    </w:pPr>
  </w:style>
  <w:style w:type="paragraph" w:styleId="Spistreci2">
    <w:name w:val="toc 2"/>
    <w:basedOn w:val="Normalny"/>
    <w:next w:val="Normalny"/>
    <w:autoRedefine/>
    <w:uiPriority w:val="39"/>
    <w:unhideWhenUsed/>
    <w:rsid w:val="001B3F65"/>
    <w:pPr>
      <w:spacing w:after="100"/>
      <w:ind w:left="220"/>
    </w:pPr>
  </w:style>
  <w:style w:type="character" w:styleId="Hipercze">
    <w:name w:val="Hyperlink"/>
    <w:basedOn w:val="Domylnaczcionkaakapitu"/>
    <w:uiPriority w:val="99"/>
    <w:unhideWhenUsed/>
    <w:rsid w:val="001B3F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7BBA-E468-445A-B08F-D5348CB0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3082</Words>
  <Characters>18495</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Informacja dodatkowa do sprawozdania finasowego 2021r.</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dodatkowa do sprawozdania finasowego 2021r.</dc:title>
  <dc:subject/>
  <dc:creator>Miklaszewska Bożena</dc:creator>
  <cp:keywords/>
  <dc:description/>
  <cp:lastModifiedBy>Rewińska Anna</cp:lastModifiedBy>
  <cp:revision>2</cp:revision>
  <cp:lastPrinted>2025-03-23T13:28:00Z</cp:lastPrinted>
  <dcterms:created xsi:type="dcterms:W3CDTF">2025-04-15T11:43:00Z</dcterms:created>
  <dcterms:modified xsi:type="dcterms:W3CDTF">2025-04-15T11:43:00Z</dcterms:modified>
</cp:coreProperties>
</file>